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40" w:before="0"/>
        <w:jc w:val="center"/>
      </w:pPr>
      <w:r>
        <w:rPr>
          <w:rFonts w:ascii="Calibri" w:cs="Calibri" w:eastAsia="Calibri" w:hAnsi="Calibri"/>
          <w:b/>
          <w:bCs/>
          <w:color w:val="0D2137"/>
          <w:sz w:val="52"/>
          <w:szCs w:val="52"/>
        </w:rPr>
        <w:t xml:space="preserve">ENTERPRISE AI DEPLOYMENT</w:t>
      </w:r>
    </w:p>
    <w:p>
      <w:pPr>
        <w:spacing w:after="80" w:before="0"/>
        <w:jc w:val="center"/>
      </w:pPr>
      <w:r>
        <w:rPr>
          <w:rFonts w:ascii="Calibri" w:cs="Calibri" w:eastAsia="Calibri" w:hAnsi="Calibri"/>
          <w:b/>
          <w:bCs/>
          <w:color w:val="1B4F8A"/>
          <w:sz w:val="52"/>
          <w:szCs w:val="52"/>
        </w:rPr>
        <w:t xml:space="preserve">RISK &amp; GOVERNANCE FRAMEWORK</w:t>
      </w:r>
    </w:p>
    <w:p>
      <w:pPr>
        <w:spacing w:after="200" w:before="0"/>
        <w:jc w:val="center"/>
      </w:pPr>
      <w:r>
        <w:rPr>
          <w:rFonts w:ascii="Calibri" w:cs="Calibri" w:eastAsia="Calibri" w:hAnsi="Calibri"/>
          <w:color w:val="4A6580"/>
          <w:sz w:val="24"/>
          <w:szCs w:val="24"/>
        </w:rPr>
        <w:t xml:space="preserve">A Consulting-Grade Analytical Framework for Enterprise AI Transformation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0D9E4" w:sz="1"/>
              <w:left w:val="single" w:color="D0D9E4" w:sz="1"/>
              <w:bottom w:val="single" w:color="D0D9E4" w:sz="1"/>
              <w:right w:val="single" w:color="D0D9E4" w:sz="1"/>
            </w:tcBorders>
            <w:shd w:fill="0D2137" w:val="clear"/>
            <w:tcMar>
              <w:top w:type="dxa" w:w="80"/>
              <w:left w:type="dxa" w:w="120"/>
              <w:bottom w:type="dxa" w:w="80"/>
              <w:right w:type="dxa" w:w="120"/>
            </w:tcMar>
            <w:vAlign w:val="top"/>
          </w:tcPr>
          <w:p>
            <w:pPr>
              <w:spacing w:after="20" w:before="20"/>
              <w:jc w:val="center"/>
            </w:pPr>
            <w:r>
              <w:rPr>
                <w:rFonts w:ascii="Calibri" w:cs="Calibri" w:eastAsia="Calibri" w:hAnsi="Calibri"/>
                <w:b/>
                <w:bCs/>
                <w:color w:val="FFFFFF"/>
                <w:sz w:val="18"/>
                <w:szCs w:val="18"/>
              </w:rPr>
              <w:t xml:space="preserve">Classification</w:t>
            </w:r>
          </w:p>
        </w:tc>
        <w:tc>
          <w:tcPr>
            <w:tcW w:type="dxa" w:w="3000"/>
            <w:tcBorders>
              <w:top w:val="single" w:color="D0D9E4" w:sz="1"/>
              <w:left w:val="single" w:color="D0D9E4" w:sz="1"/>
              <w:bottom w:val="single" w:color="D0D9E4" w:sz="1"/>
              <w:right w:val="single" w:color="D0D9E4" w:sz="1"/>
            </w:tcBorders>
            <w:shd w:fill="4A6580" w:val="clear"/>
            <w:tcMar>
              <w:top w:type="dxa" w:w="80"/>
              <w:left w:type="dxa" w:w="120"/>
              <w:bottom w:type="dxa" w:w="80"/>
              <w:right w:type="dxa" w:w="120"/>
            </w:tcMar>
            <w:vAlign w:val="top"/>
          </w:tcPr>
          <w:p>
            <w:pPr>
              <w:spacing w:after="20" w:before="20"/>
              <w:jc w:val="center"/>
            </w:pPr>
            <w:r>
              <w:rPr>
                <w:rFonts w:ascii="Calibri" w:cs="Calibri" w:eastAsia="Calibri" w:hAnsi="Calibri"/>
                <w:b w:val="false"/>
                <w:bCs w:val="false"/>
                <w:color w:val="FFFFFF"/>
                <w:sz w:val="18"/>
                <w:szCs w:val="18"/>
              </w:rPr>
              <w:t xml:space="preserve">Consulting Advisory — Internal</w:t>
            </w:r>
          </w:p>
        </w:tc>
      </w:tr>
      <w:tr>
        <w:tc>
          <w:tcPr>
            <w:tcW w:type="dxa" w:w="3000"/>
            <w:tcBorders>
              <w:top w:val="single" w:color="D0D9E4" w:sz="1"/>
              <w:left w:val="single" w:color="D0D9E4" w:sz="1"/>
              <w:bottom w:val="single" w:color="D0D9E4" w:sz="1"/>
              <w:right w:val="single" w:color="D0D9E4" w:sz="1"/>
            </w:tcBorders>
            <w:shd w:fill="1B4F8A" w:val="clear"/>
            <w:tcMar>
              <w:top w:type="dxa" w:w="80"/>
              <w:left w:type="dxa" w:w="120"/>
              <w:bottom w:type="dxa" w:w="80"/>
              <w:right w:type="dxa" w:w="120"/>
            </w:tcMar>
            <w:vAlign w:val="top"/>
          </w:tcPr>
          <w:p>
            <w:pPr>
              <w:spacing w:after="20" w:before="20"/>
              <w:jc w:val="center"/>
            </w:pPr>
            <w:r>
              <w:rPr>
                <w:rFonts w:ascii="Calibri" w:cs="Calibri" w:eastAsia="Calibri" w:hAnsi="Calibri"/>
                <w:b/>
                <w:bCs/>
                <w:color w:val="FFFFFF"/>
                <w:sz w:val="18"/>
                <w:szCs w:val="18"/>
              </w:rPr>
              <w:t xml:space="preserve">Evidence Base</w:t>
            </w:r>
          </w:p>
        </w:tc>
        <w:tc>
          <w:tcPr>
            <w:tcW w:type="dxa" w:w="3000"/>
            <w:tcBorders>
              <w:top w:val="single" w:color="D0D9E4" w:sz="1"/>
              <w:left w:val="single" w:color="D0D9E4" w:sz="1"/>
              <w:bottom w:val="single" w:color="D0D9E4" w:sz="1"/>
              <w:right w:val="single" w:color="D0D9E4" w:sz="1"/>
            </w:tcBorders>
            <w:shd w:fill="2E6DA4" w:val="clear"/>
            <w:tcMar>
              <w:top w:type="dxa" w:w="80"/>
              <w:left w:type="dxa" w:w="120"/>
              <w:bottom w:type="dxa" w:w="80"/>
              <w:right w:type="dxa" w:w="120"/>
            </w:tcMar>
            <w:vAlign w:val="top"/>
          </w:tcPr>
          <w:p>
            <w:pPr>
              <w:spacing w:after="20" w:before="20"/>
              <w:jc w:val="center"/>
            </w:pPr>
            <w:r>
              <w:rPr>
                <w:rFonts w:ascii="Calibri" w:cs="Calibri" w:eastAsia="Calibri" w:hAnsi="Calibri"/>
                <w:b w:val="false"/>
                <w:bCs w:val="false"/>
                <w:color w:val="FFFFFF"/>
                <w:sz w:val="18"/>
                <w:szCs w:val="18"/>
              </w:rPr>
              <w:t xml:space="preserve">6 Enterprise Cases, Cross-Audit Verified</w:t>
            </w:r>
          </w:p>
        </w:tc>
      </w:tr>
      <w:tr>
        <w:tc>
          <w:tcPr>
            <w:tcW w:type="dxa" w:w="3000"/>
            <w:tcBorders>
              <w:top w:val="single" w:color="D0D9E4" w:sz="1"/>
              <w:left w:val="single" w:color="D0D9E4" w:sz="1"/>
              <w:bottom w:val="single" w:color="D0D9E4" w:sz="1"/>
              <w:right w:val="single" w:color="D0D9E4" w:sz="1"/>
            </w:tcBorders>
            <w:shd w:fill="0D2137" w:val="clear"/>
            <w:tcMar>
              <w:top w:type="dxa" w:w="80"/>
              <w:left w:type="dxa" w:w="120"/>
              <w:bottom w:type="dxa" w:w="80"/>
              <w:right w:type="dxa" w:w="120"/>
            </w:tcMar>
            <w:vAlign w:val="top"/>
          </w:tcPr>
          <w:p>
            <w:pPr>
              <w:spacing w:after="20" w:before="20"/>
              <w:jc w:val="center"/>
            </w:pPr>
            <w:r>
              <w:rPr>
                <w:rFonts w:ascii="Calibri" w:cs="Calibri" w:eastAsia="Calibri" w:hAnsi="Calibri"/>
                <w:b/>
                <w:bCs/>
                <w:color w:val="FFFFFF"/>
                <w:sz w:val="18"/>
                <w:szCs w:val="18"/>
              </w:rPr>
              <w:t xml:space="preserve">Frameworks Built</w:t>
            </w:r>
          </w:p>
        </w:tc>
        <w:tc>
          <w:tcPr>
            <w:tcW w:type="dxa" w:w="3000"/>
            <w:tcBorders>
              <w:top w:val="single" w:color="D0D9E4" w:sz="1"/>
              <w:left w:val="single" w:color="D0D9E4" w:sz="1"/>
              <w:bottom w:val="single" w:color="D0D9E4" w:sz="1"/>
              <w:right w:val="single" w:color="D0D9E4" w:sz="1"/>
            </w:tcBorders>
            <w:shd w:fill="4A6580" w:val="clear"/>
            <w:tcMar>
              <w:top w:type="dxa" w:w="80"/>
              <w:left w:type="dxa" w:w="120"/>
              <w:bottom w:type="dxa" w:w="80"/>
              <w:right w:type="dxa" w:w="120"/>
            </w:tcMar>
            <w:vAlign w:val="top"/>
          </w:tcPr>
          <w:p>
            <w:pPr>
              <w:spacing w:after="20" w:before="20"/>
              <w:jc w:val="center"/>
            </w:pPr>
            <w:r>
              <w:rPr>
                <w:rFonts w:ascii="Calibri" w:cs="Calibri" w:eastAsia="Calibri" w:hAnsi="Calibri"/>
                <w:b w:val="false"/>
                <w:bCs w:val="false"/>
                <w:color w:val="FFFFFF"/>
                <w:sz w:val="18"/>
                <w:szCs w:val="18"/>
              </w:rPr>
              <w:t xml:space="preserve">7 Reusable Strategic Frameworks</w:t>
            </w:r>
          </w:p>
        </w:tc>
      </w:tr>
      <w:tr>
        <w:tc>
          <w:tcPr>
            <w:tcW w:type="dxa" w:w="3000"/>
            <w:tcBorders>
              <w:top w:val="single" w:color="D0D9E4" w:sz="1"/>
              <w:left w:val="single" w:color="D0D9E4" w:sz="1"/>
              <w:bottom w:val="single" w:color="D0D9E4" w:sz="1"/>
              <w:right w:val="single" w:color="D0D9E4" w:sz="1"/>
            </w:tcBorders>
            <w:shd w:fill="1B4F8A" w:val="clear"/>
            <w:tcMar>
              <w:top w:type="dxa" w:w="80"/>
              <w:left w:type="dxa" w:w="120"/>
              <w:bottom w:type="dxa" w:w="80"/>
              <w:right w:type="dxa" w:w="120"/>
            </w:tcMar>
            <w:vAlign w:val="top"/>
          </w:tcPr>
          <w:p>
            <w:pPr>
              <w:spacing w:after="20" w:before="20"/>
              <w:jc w:val="center"/>
            </w:pPr>
            <w:r>
              <w:rPr>
                <w:rFonts w:ascii="Calibri" w:cs="Calibri" w:eastAsia="Calibri" w:hAnsi="Calibri"/>
                <w:b/>
                <w:bCs/>
                <w:color w:val="FFFFFF"/>
                <w:sz w:val="18"/>
                <w:szCs w:val="18"/>
              </w:rPr>
              <w:t xml:space="preserve">Version</w:t>
            </w:r>
          </w:p>
        </w:tc>
        <w:tc>
          <w:tcPr>
            <w:tcW w:type="dxa" w:w="3000"/>
            <w:tcBorders>
              <w:top w:val="single" w:color="D0D9E4" w:sz="1"/>
              <w:left w:val="single" w:color="D0D9E4" w:sz="1"/>
              <w:bottom w:val="single" w:color="D0D9E4" w:sz="1"/>
              <w:right w:val="single" w:color="D0D9E4" w:sz="1"/>
            </w:tcBorders>
            <w:shd w:fill="2E6DA4" w:val="clear"/>
            <w:tcMar>
              <w:top w:type="dxa" w:w="80"/>
              <w:left w:type="dxa" w:w="120"/>
              <w:bottom w:type="dxa" w:w="80"/>
              <w:right w:type="dxa" w:w="120"/>
            </w:tcMar>
            <w:vAlign w:val="top"/>
          </w:tcPr>
          <w:p>
            <w:pPr>
              <w:spacing w:after="20" w:before="20"/>
              <w:jc w:val="center"/>
            </w:pPr>
            <w:r>
              <w:rPr>
                <w:rFonts w:ascii="Calibri" w:cs="Calibri" w:eastAsia="Calibri" w:hAnsi="Calibri"/>
                <w:b w:val="false"/>
                <w:bCs w:val="false"/>
                <w:color w:val="FFFFFF"/>
                <w:sz w:val="18"/>
                <w:szCs w:val="18"/>
              </w:rPr>
              <w:t xml:space="preserve">May 2026 — Evidence-Audited</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FFF8DC" w:val="clear"/>
            <w:tcMar>
              <w:top w:type="dxa" w:w="120"/>
              <w:left w:type="dxa" w:w="180"/>
              <w:bottom w:type="dxa" w:w="120"/>
              <w:right w:type="dxa" w:w="180"/>
            </w:tcMar>
          </w:tcPr>
          <w:p>
            <w:pPr>
              <w:spacing w:after="60" w:before="40"/>
            </w:pPr>
            <w:r>
              <w:rPr>
                <w:rFonts w:ascii="Calibri" w:cs="Calibri" w:eastAsia="Calibri" w:hAnsi="Calibri"/>
                <w:b/>
                <w:bCs/>
                <w:color w:val="614A00"/>
                <w:sz w:val="19"/>
                <w:szCs w:val="19"/>
              </w:rPr>
              <w:t xml:space="preserve">⚠  EVIDENCE STANDARD</w:t>
            </w:r>
          </w:p>
          <w:p>
            <w:pPr>
              <w:spacing w:after="30" w:before="30"/>
            </w:pPr>
            <w:r>
              <w:rPr>
                <w:rFonts w:ascii="Calibri" w:cs="Calibri" w:eastAsia="Calibri" w:hAnsi="Calibri"/>
                <w:color w:val="614A00"/>
                <w:sz w:val="18"/>
                <w:szCs w:val="18"/>
              </w:rPr>
              <w:t xml:space="preserve">Evidence Integrity Notice: All frameworks in this document are synthesized exclusively from</w:t>
            </w:r>
          </w:p>
          <w:p>
            <w:pPr>
              <w:spacing w:after="30" w:before="30"/>
            </w:pPr>
            <w:r>
              <w:rPr>
                <w:rFonts w:ascii="Calibri" w:cs="Calibri" w:eastAsia="Calibri" w:hAnsi="Calibri"/>
                <w:color w:val="614A00"/>
                <w:sz w:val="18"/>
                <w:szCs w:val="18"/>
              </w:rPr>
              <w:t xml:space="preserve">evidence-labeled source analysis. Claims are marked VERIFIED, STRATEGIC INFERENCE, or</w:t>
            </w:r>
          </w:p>
          <w:p>
            <w:pPr>
              <w:spacing w:after="30" w:before="30"/>
            </w:pPr>
            <w:r>
              <w:rPr>
                <w:rFonts w:ascii="Calibri" w:cs="Calibri" w:eastAsia="Calibri" w:hAnsi="Calibri"/>
                <w:color w:val="614A00"/>
                <w:sz w:val="18"/>
                <w:szCs w:val="18"/>
              </w:rPr>
              <w:t xml:space="preserve">INTERPRETATION. No new facts have been introduced. Do not use INFERENCE-labeled claims</w:t>
            </w:r>
          </w:p>
          <w:p>
            <w:pPr>
              <w:spacing w:after="30" w:before="30"/>
            </w:pPr>
            <w:r>
              <w:rPr>
                <w:rFonts w:ascii="Calibri" w:cs="Calibri" w:eastAsia="Calibri" w:hAnsi="Calibri"/>
                <w:color w:val="614A00"/>
                <w:sz w:val="18"/>
                <w:szCs w:val="18"/>
              </w:rPr>
              <w:t xml:space="preserve">as empirical evidence in client-facing deliverables without additional primary sourcing.</w:t>
            </w:r>
          </w:p>
        </w:tc>
      </w:tr>
    </w:tbl>
    <w:p>
      <w:r>
        <w:br w:type="page"/>
      </w:r>
    </w:p>
    <w:p>
      <w:pPr>
        <w:pStyle w:val="Heading1"/>
        <w:pBdr>
          <w:bottom w:val="single" w:color="1B4F8A" w:sz="8" w:space="4"/>
        </w:pBdr>
        <w:spacing w:after="120" w:before="480"/>
      </w:pPr>
      <w:r>
        <w:rPr>
          <w:rFonts w:ascii="Calibri" w:cs="Calibri" w:eastAsia="Calibri" w:hAnsi="Calibri"/>
          <w:b/>
          <w:bCs/>
          <w:color w:val="0D2137"/>
          <w:sz w:val="36"/>
          <w:szCs w:val="36"/>
        </w:rPr>
        <w:t xml:space="preserve">Evidence Classification Legend</w:t>
      </w:r>
    </w:p>
    <w:p>
      <w:pPr>
        <w:spacing w:after="60" w:before="60"/>
      </w:pPr>
      <w:r>
        <w:rPr>
          <w:rFonts w:ascii="Calibri" w:cs="Calibri" w:eastAsia="Calibri" w:hAnsi="Calibri"/>
          <w:b w:val="false"/>
          <w:bCs w:val="false"/>
          <w:color w:val="0D2137"/>
          <w:sz w:val="20"/>
          <w:szCs w:val="20"/>
        </w:rPr>
        <w:t xml:space="preserve">All framework elements carry one of three evidence labels. These labels are non-negotiable — do not promote a label without obtaining a primary source.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Label</w:t>
            </w:r>
          </w:p>
        </w:tc>
        <w:tc>
          <w:tcPr>
            <w:tcW w:type="dxa" w:w="48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Definition</w:t>
            </w:r>
          </w:p>
        </w:tc>
        <w:tc>
          <w:tcPr>
            <w:tcW w:type="dxa" w:w="27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Usage in Client Work</w:t>
            </w:r>
          </w:p>
        </w:tc>
      </w:tr>
      <w:tr>
        <w:tc>
          <w:tcPr>
            <w:tcW w:type="dxa" w:w="180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w:t>
            </w:r>
          </w:p>
        </w:tc>
        <w:tc>
          <w:tcPr>
            <w:tcW w:type="dxa" w:w="4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Supported by Tier 1–2 primary sources (official disclosures, peer-reviewed research)</w:t>
            </w:r>
          </w:p>
        </w:tc>
        <w:tc>
          <w:tcPr>
            <w:tcW w:type="dxa" w:w="27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Safe to cite with source attribution</w:t>
            </w:r>
          </w:p>
        </w:tc>
      </w:tr>
      <w:tr>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c>
          <w:tcPr>
            <w:tcW w:type="dxa" w:w="4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Logical deduction from verified patterns; no single primary source confirms per-case</w:t>
            </w:r>
          </w:p>
        </w:tc>
        <w:tc>
          <w:tcPr>
            <w:tcW w:type="dxa" w:w="27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Use as advisory hypothesis; flag to client</w:t>
            </w:r>
          </w:p>
        </w:tc>
      </w:tr>
      <w:tr>
        <w:tc>
          <w:tcPr>
            <w:tcW w:type="dxa" w:w="1800"/>
            <w:tcBorders>
              <w:top w:val="single" w:color="D0D9E4" w:sz="1"/>
              <w:left w:val="single" w:color="D0D9E4" w:sz="1"/>
              <w:bottom w:val="single" w:color="D0D9E4" w:sz="1"/>
              <w:right w:val="single" w:color="D0D9E4" w:sz="1"/>
            </w:tcBorders>
            <w:shd w:fill="FFF8D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614A00"/>
                <w:sz w:val="18"/>
                <w:szCs w:val="18"/>
              </w:rPr>
              <w:t xml:space="preserve">INTERPRETATION</w:t>
            </w:r>
          </w:p>
        </w:tc>
        <w:tc>
          <w:tcPr>
            <w:tcW w:type="dxa" w:w="4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Analyst synthesis across cases; directional only; may reflect industry norms</w:t>
            </w:r>
          </w:p>
        </w:tc>
        <w:tc>
          <w:tcPr>
            <w:tcW w:type="dxa" w:w="27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Use for framing only; do not present as data</w:t>
            </w:r>
          </w:p>
        </w:tc>
      </w:tr>
    </w:tbl>
    <w:p/>
    <w:p>
      <w:pPr>
        <w:spacing w:after="60" w:before="60"/>
      </w:pPr>
      <w:r>
        <w:rPr>
          <w:rFonts w:ascii="Calibri" w:cs="Calibri" w:eastAsia="Calibri" w:hAnsi="Calibri"/>
          <w:b w:val="false"/>
          <w:bCs w:val="false"/>
          <w:color w:val="4A6580"/>
          <w:sz w:val="18"/>
          <w:szCs w:val="18"/>
        </w:rPr>
        <w:t xml:space="preserve">Primary source tiers: Tier 1 = company official / peer-reviewed academic. Tier 2 = major press (CNBC, Reuters). Tier 3 = trade press. Tier 4 = blog/aggregator (INFERENCE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01</w:t>
            </w:r>
          </w:p>
        </w:tc>
        <w:tc>
          <w:tcPr>
            <w:tcW w:type="dxa" w:w="8640"/>
            <w:tcBorders>
              <w:top w:val="none" w:color="FFFFFF" w:sz="0"/>
              <w:left w:val="none" w:color="FFFFFF" w:sz="0"/>
              <w:bottom w:val="none" w:color="FFFFFF" w:sz="0"/>
              <w:right w:val="none" w:color="FFFFFF" w:sz="0"/>
            </w:tcBorders>
            <w:shd w:fill="1B4F8A" w:val="clear"/>
            <w:tcMar>
              <w:top w:type="dxa" w:w="100"/>
              <w:left w:type="dxa" w:w="200"/>
              <w:bottom w:type="dxa" w:w="100"/>
              <w:right w:type="dxa" w:w="120"/>
            </w:tcMar>
            <w:vAlign w:val="center"/>
          </w:tcPr>
          <w:p>
            <w:r>
              <w:rPr>
                <w:rFonts w:ascii="Calibri" w:cs="Calibri" w:eastAsia="Calibri" w:hAnsi="Calibri"/>
                <w:b/>
                <w:bCs/>
                <w:color w:val="FFFFFF"/>
                <w:sz w:val="26"/>
                <w:szCs w:val="26"/>
              </w:rPr>
              <w:t xml:space="preserve">Enterprise AI Failure Taxonomy</w:t>
            </w:r>
          </w:p>
        </w:tc>
      </w:tr>
    </w:tbl>
    <w:p/>
    <w:p>
      <w:pPr>
        <w:spacing w:after="60" w:before="60"/>
      </w:pPr>
      <w:r>
        <w:rPr>
          <w:rFonts w:ascii="Calibri" w:cs="Calibri" w:eastAsia="Calibri" w:hAnsi="Calibri"/>
          <w:b w:val="false"/>
          <w:bCs w:val="false"/>
          <w:color w:val="0D2137"/>
          <w:sz w:val="20"/>
          <w:szCs w:val="20"/>
        </w:rPr>
        <w:t xml:space="preserve">A structured classification of the failure types observed across the six-case dataset. Taxonomized by mechanism, not by company — failures are organizational patterns, not isolated incidents.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900"/>
        <w:gridCol w:w="1860"/>
      </w:tblGrid>
      <w:tr>
        <w:tc>
          <w:tcPr>
            <w:tcW w:type="dxa" w:w="16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Failure Type</w:t>
            </w:r>
          </w:p>
        </w:tc>
        <w:tc>
          <w:tcPr>
            <w:tcW w:type="dxa" w:w="2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Mechanism</w:t>
            </w:r>
          </w:p>
        </w:tc>
        <w:tc>
          <w:tcPr>
            <w:tcW w:type="dxa" w:w="18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Root Cause</w:t>
            </w:r>
          </w:p>
        </w:tc>
        <w:tc>
          <w:tcPr>
            <w:tcW w:type="dxa" w:w="19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Case Evidence</w:t>
            </w:r>
          </w:p>
        </w:tc>
        <w:tc>
          <w:tcPr>
            <w:tcW w:type="dxa" w:w="18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 Level</w:t>
            </w:r>
          </w:p>
        </w:tc>
      </w:tr>
      <w:tr>
        <w:tc>
          <w:tcPr>
            <w:tcW w:type="dxa" w:w="1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KPI Mismatch</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Operational metric optimized; business outcome degraded</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Success metric defined without reference to customer or revenue impact</w:t>
            </w:r>
          </w:p>
        </w:tc>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Klarna: resolution time ↓, satisfaction ↓</w:t>
            </w:r>
          </w:p>
        </w:tc>
        <w:tc>
          <w:tcPr>
            <w:tcW w:type="dxa" w:w="18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w:t>
            </w:r>
          </w:p>
        </w:tc>
      </w:tr>
      <w:tr>
        <w:tc>
          <w:tcPr>
            <w:tcW w:type="dxa" w:w="1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Absence</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Edge cases accumulate in automated system with no overflow path</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path treated as optional feature, not architectural precondition</w:t>
            </w:r>
          </w:p>
        </w:tc>
        <w:tc>
          <w:tcPr>
            <w:tcW w:type="dxa" w:w="1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Klarna: 100% automation scope; no human overflow</w:t>
            </w:r>
          </w:p>
        </w:tc>
        <w:tc>
          <w:tcPr>
            <w:tcW w:type="dxa" w:w="18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w:t>
            </w:r>
          </w:p>
        </w:tc>
      </w:tr>
      <w:tr>
        <w:tc>
          <w:tcPr>
            <w:tcW w:type="dxa" w:w="1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ROI Base Rate Failure</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Majority of AI initiatives fail to return expected value</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Overestimation of out-of-box impact; underinvestment in change management</w:t>
            </w:r>
          </w:p>
        </w:tc>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IBM: 75% of AI initiatives missed expected ROI</w:t>
            </w:r>
          </w:p>
        </w:tc>
        <w:tc>
          <w:tcPr>
            <w:tcW w:type="dxa" w:w="18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w:t>
            </w:r>
          </w:p>
        </w:tc>
      </w:tr>
      <w:tr>
        <w:tc>
          <w:tcPr>
            <w:tcW w:type="dxa" w:w="1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Scale Base Rate Failure</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Majority of AI initiatives fail to propagate beyond initial unit</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Fragmentation risk, governance gaps, and maintenance overhead underestimated at design</w:t>
            </w:r>
          </w:p>
        </w:tc>
        <w:tc>
          <w:tcPr>
            <w:tcW w:type="dxa" w:w="1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IBM: 84% of AI initiatives did not scale enterprise-wide</w:t>
            </w:r>
          </w:p>
        </w:tc>
        <w:tc>
          <w:tcPr>
            <w:tcW w:type="dxa" w:w="18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w:t>
            </w:r>
          </w:p>
        </w:tc>
      </w:tr>
      <w:tr>
        <w:tc>
          <w:tcPr>
            <w:tcW w:type="dxa" w:w="1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Evidence Opacity</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Deployment generates no auditable primary outcome data</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public disclosure requirement; no internal audit mandate</w:t>
            </w:r>
          </w:p>
        </w:tc>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Siemens: all quantitative claims unverifiable from primary sources</w:t>
            </w:r>
          </w:p>
        </w:tc>
        <w:tc>
          <w:tcPr>
            <w:tcW w:type="dxa" w:w="18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1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Data Contamination</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Fabricated certainty presented as verified fact in internal research</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AI-generated case aggregation without primary source verification</w:t>
            </w:r>
          </w:p>
        </w:tc>
        <w:tc>
          <w:tcPr>
            <w:tcW w:type="dxa" w:w="1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Source document (V3): Perplexity audit found 'invented adoption curves, fabricated break-even timelines'</w:t>
            </w:r>
          </w:p>
        </w:tc>
        <w:tc>
          <w:tcPr>
            <w:tcW w:type="dxa" w:w="18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(audit finding)</w:t>
            </w:r>
          </w:p>
        </w:tc>
      </w:tr>
      <w:tr>
        <w:tc>
          <w:tcPr>
            <w:tcW w:type="dxa" w:w="1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Velocity-Without-Architecture</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Maximum deployment speed without staged risk management</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Cost-cutting pressure overrides phased rollout design</w:t>
            </w:r>
          </w:p>
        </w:tc>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Klarna: 2/3 of all CS chats routed to AI within first month, no pilot phase</w:t>
            </w:r>
          </w:p>
        </w:tc>
        <w:tc>
          <w:tcPr>
            <w:tcW w:type="dxa" w:w="18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E6F4EC" w:val="clear"/>
            <w:tcMar>
              <w:top w:type="dxa" w:w="120"/>
              <w:left w:type="dxa" w:w="180"/>
              <w:bottom w:type="dxa" w:w="120"/>
              <w:right w:type="dxa" w:w="180"/>
            </w:tcMar>
          </w:tcPr>
          <w:p>
            <w:pPr>
              <w:spacing w:after="60" w:before="40"/>
            </w:pPr>
            <w:r>
              <w:rPr>
                <w:rFonts w:ascii="Calibri" w:cs="Calibri" w:eastAsia="Calibri" w:hAnsi="Calibri"/>
                <w:b/>
                <w:bCs/>
                <w:color w:val="1A5C38"/>
                <w:sz w:val="19"/>
                <w:szCs w:val="19"/>
              </w:rPr>
              <w:t xml:space="preserve">CONSULTING IMPLICATION</w:t>
            </w:r>
          </w:p>
          <w:p>
            <w:pPr>
              <w:spacing w:after="30" w:before="30"/>
            </w:pPr>
            <w:r>
              <w:rPr>
                <w:rFonts w:ascii="Calibri" w:cs="Calibri" w:eastAsia="Calibri" w:hAnsi="Calibri"/>
                <w:color w:val="1A5C38"/>
                <w:sz w:val="18"/>
                <w:szCs w:val="18"/>
              </w:rPr>
              <w:t xml:space="preserve">Actionable insight: Five of seven failure types are preventable through design decisions made BEFORE</w:t>
            </w:r>
          </w:p>
          <w:p>
            <w:pPr>
              <w:spacing w:after="30" w:before="30"/>
            </w:pPr>
            <w:r>
              <w:rPr>
                <w:rFonts w:ascii="Calibri" w:cs="Calibri" w:eastAsia="Calibri" w:hAnsi="Calibri"/>
                <w:color w:val="1A5C38"/>
                <w:sz w:val="18"/>
                <w:szCs w:val="18"/>
              </w:rPr>
              <w:t xml:space="preserve">deployment. Only 'ROI Base Rate Failure' and 'Scale Base Rate Failure' reflect systemic enterprise</w:t>
            </w:r>
          </w:p>
          <w:p>
            <w:pPr>
              <w:spacing w:after="30" w:before="30"/>
            </w:pPr>
            <w:r>
              <w:rPr>
                <w:rFonts w:ascii="Calibri" w:cs="Calibri" w:eastAsia="Calibri" w:hAnsi="Calibri"/>
                <w:color w:val="1A5C38"/>
                <w:sz w:val="18"/>
                <w:szCs w:val="18"/>
              </w:rPr>
              <w:t xml:space="preserve">AI difficulty that persists even with good governance — IBM's verified internal data confirms this.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02</w:t>
            </w:r>
          </w:p>
        </w:tc>
        <w:tc>
          <w:tcPr>
            <w:tcW w:type="dxa" w:w="8640"/>
            <w:tcBorders>
              <w:top w:val="none" w:color="FFFFFF" w:sz="0"/>
              <w:left w:val="none" w:color="FFFFFF" w:sz="0"/>
              <w:bottom w:val="none" w:color="FFFFFF" w:sz="0"/>
              <w:right w:val="none" w:color="FFFFFF" w:sz="0"/>
            </w:tcBorders>
            <w:shd w:fill="1B4F8A" w:val="clear"/>
            <w:tcMar>
              <w:top w:type="dxa" w:w="100"/>
              <w:left w:type="dxa" w:w="200"/>
              <w:bottom w:type="dxa" w:w="100"/>
              <w:right w:type="dxa" w:w="120"/>
            </w:tcMar>
            <w:vAlign w:val="center"/>
          </w:tcPr>
          <w:p>
            <w:r>
              <w:rPr>
                <w:rFonts w:ascii="Calibri" w:cs="Calibri" w:eastAsia="Calibri" w:hAnsi="Calibri"/>
                <w:b/>
                <w:bCs/>
                <w:color w:val="FFFFFF"/>
                <w:sz w:val="26"/>
                <w:szCs w:val="26"/>
              </w:rPr>
              <w:t xml:space="preserve">AI Deployment Risk Matrix</w:t>
            </w:r>
          </w:p>
        </w:tc>
      </w:tr>
    </w:tbl>
    <w:p/>
    <w:p>
      <w:pPr>
        <w:spacing w:after="60" w:before="60"/>
      </w:pPr>
      <w:r>
        <w:rPr>
          <w:rFonts w:ascii="Calibri" w:cs="Calibri" w:eastAsia="Calibri" w:hAnsi="Calibri"/>
          <w:b w:val="false"/>
          <w:bCs w:val="false"/>
          <w:color w:val="0D2137"/>
          <w:sz w:val="20"/>
          <w:szCs w:val="20"/>
        </w:rPr>
        <w:t xml:space="preserve">A two-axis risk assessment mapping deployment risk against evidence quality for each failure dimension. For each risk: likelihood is drawn from case frequency; consequence from the documented business impact.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200"/>
        <w:gridCol w:w="2700"/>
        <w:gridCol w:w="1660"/>
      </w:tblGrid>
      <w:tr>
        <w:tc>
          <w:tcPr>
            <w:tcW w:type="dxa" w:w="19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Risk Dimension</w:t>
            </w:r>
          </w:p>
        </w:tc>
        <w:tc>
          <w:tcPr>
            <w:tcW w:type="dxa" w:w="9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Likelihood</w:t>
            </w:r>
          </w:p>
        </w:tc>
        <w:tc>
          <w:tcPr>
            <w:tcW w:type="dxa" w:w="2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Business Consequence</w:t>
            </w:r>
          </w:p>
        </w:tc>
        <w:tc>
          <w:tcPr>
            <w:tcW w:type="dxa" w:w="27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Leading Indicator</w:t>
            </w:r>
          </w:p>
        </w:tc>
        <w:tc>
          <w:tcPr>
            <w:tcW w:type="dxa" w:w="16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 Level</w:t>
            </w:r>
          </w:p>
        </w:tc>
      </w:tr>
      <w:tr>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Wrong KPI selection</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Operational improvement masks business degradation; reversal cost</w:t>
            </w:r>
          </w:p>
        </w:tc>
        <w:tc>
          <w:tcPr>
            <w:tcW w:type="dxa" w:w="27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Single-metric governance; no customer satisfaction baseline</w:t>
            </w:r>
          </w:p>
        </w:tc>
        <w:tc>
          <w:tcPr>
            <w:tcW w:type="dxa" w:w="16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w:t>
            </w:r>
          </w:p>
        </w:tc>
      </w:tr>
      <w:tr>
        <w:tc>
          <w:tcPr>
            <w:tcW w:type="dxa" w:w="1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escalation architecture</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Edge-case accumulation → customer damage → forced reversal</w:t>
            </w:r>
          </w:p>
        </w:tc>
        <w:tc>
          <w:tcPr>
            <w:tcW w:type="dxa" w:w="27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100% automation target in scope definition; no SLA for escalation</w:t>
            </w:r>
          </w:p>
        </w:tc>
        <w:tc>
          <w:tcPr>
            <w:tcW w:type="dxa" w:w="16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w:t>
            </w:r>
          </w:p>
        </w:tc>
      </w:tr>
      <w:tr>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ROI target miss</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75% base rate of failure (IBM internal benchmark)</w:t>
            </w:r>
          </w:p>
        </w:tc>
        <w:tc>
          <w:tcPr>
            <w:tcW w:type="dxa" w:w="27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pilot ROI measurement; no primary baseline data</w:t>
            </w:r>
          </w:p>
        </w:tc>
        <w:tc>
          <w:tcPr>
            <w:tcW w:type="dxa" w:w="16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(IBM)</w:t>
            </w:r>
          </w:p>
        </w:tc>
      </w:tr>
      <w:tr>
        <w:tc>
          <w:tcPr>
            <w:tcW w:type="dxa" w:w="1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Scale failure</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84% base rate of non-propagation enterprise-wide (IBM)</w:t>
            </w:r>
          </w:p>
        </w:tc>
        <w:tc>
          <w:tcPr>
            <w:tcW w:type="dxa" w:w="27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Single-department success treated as proof of enterprise viability</w:t>
            </w:r>
          </w:p>
        </w:tc>
        <w:tc>
          <w:tcPr>
            <w:tcW w:type="dxa" w:w="16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(IBM)</w:t>
            </w:r>
          </w:p>
        </w:tc>
      </w:tr>
      <w:tr>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Adoption mis-measurement</w:t>
            </w:r>
          </w:p>
        </w:tc>
        <w:tc>
          <w:tcPr>
            <w:tcW w:type="dxa" w:w="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MEDIUM</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Throughput metrics claimed as user adoption; real utilization unknown</w:t>
            </w:r>
          </w:p>
        </w:tc>
        <w:tc>
          <w:tcPr>
            <w:tcW w:type="dxa" w:w="27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Conflation of system-level throughput with behavioral adoption rate</w:t>
            </w:r>
          </w:p>
        </w:tc>
        <w:tc>
          <w:tcPr>
            <w:tcW w:type="dxa" w:w="16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1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Evidence opacity</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Deployment outcomes unauditable; decisions made on fabricated metrics</w:t>
            </w:r>
          </w:p>
        </w:tc>
        <w:tc>
          <w:tcPr>
            <w:tcW w:type="dxa" w:w="27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primary sourcing for internal ROI claims; analyst-constructed figures</w:t>
            </w:r>
          </w:p>
        </w:tc>
        <w:tc>
          <w:tcPr>
            <w:tcW w:type="dxa" w:w="16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Change management underinvestment</w:t>
            </w:r>
          </w:p>
        </w:tc>
        <w:tc>
          <w:tcPr>
            <w:tcW w:type="dxa" w:w="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MEDIUM</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Behavioral adoption fails despite technical success</w:t>
            </w:r>
          </w:p>
        </w:tc>
        <w:tc>
          <w:tcPr>
            <w:tcW w:type="dxa" w:w="27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change management budget line; no named change lead</w:t>
            </w:r>
          </w:p>
        </w:tc>
        <w:tc>
          <w:tcPr>
            <w:tcW w:type="dxa" w:w="16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1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Governance review lag</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Review mechanism triggers only after damage; not before</w:t>
            </w:r>
          </w:p>
        </w:tc>
        <w:tc>
          <w:tcPr>
            <w:tcW w:type="dxa" w:w="27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KPI review cycle longer than customer impact cycle</w:t>
            </w:r>
          </w:p>
        </w:tc>
        <w:tc>
          <w:tcPr>
            <w:tcW w:type="dxa" w:w="1660"/>
            <w:tcBorders>
              <w:top w:val="single" w:color="D0D9E4" w:sz="1"/>
              <w:left w:val="single" w:color="D0D9E4" w:sz="1"/>
              <w:bottom w:val="single" w:color="D0D9E4" w:sz="1"/>
              <w:right w:val="single" w:color="D0D9E4" w:sz="1"/>
            </w:tcBorders>
            <w:shd w:fill="FFF8D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614A00"/>
                <w:sz w:val="18"/>
                <w:szCs w:val="18"/>
              </w:rPr>
              <w:t xml:space="preserve">INTERPRETATION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E3EEF8" w:val="clear"/>
            <w:tcMar>
              <w:top w:type="dxa" w:w="120"/>
              <w:left w:type="dxa" w:w="180"/>
              <w:bottom w:type="dxa" w:w="120"/>
              <w:right w:type="dxa" w:w="180"/>
            </w:tcMar>
          </w:tcPr>
          <w:p>
            <w:pPr>
              <w:spacing w:after="60" w:before="40"/>
            </w:pPr>
            <w:r>
              <w:rPr>
                <w:rFonts w:ascii="Calibri" w:cs="Calibri" w:eastAsia="Calibri" w:hAnsi="Calibri"/>
                <w:b/>
                <w:bCs/>
                <w:color w:val="0D3D6B"/>
                <w:sz w:val="19"/>
                <w:szCs w:val="19"/>
              </w:rPr>
              <w:t xml:space="preserve">STRATEGIC INFERENCE</w:t>
            </w:r>
          </w:p>
          <w:p>
            <w:pPr>
              <w:spacing w:after="30" w:before="30"/>
            </w:pPr>
            <w:r>
              <w:rPr>
                <w:rFonts w:ascii="Calibri" w:cs="Calibri" w:eastAsia="Calibri" w:hAnsi="Calibri"/>
                <w:color w:val="0D3D6B"/>
                <w:sz w:val="18"/>
                <w:szCs w:val="18"/>
              </w:rPr>
              <w:t xml:space="preserve">Risk calibration note: 'HIGH' likelihood ratings reflect the IBM verified base rate data.</w:t>
            </w:r>
          </w:p>
          <w:p>
            <w:pPr>
              <w:spacing w:after="30" w:before="30"/>
            </w:pPr>
            <w:r>
              <w:rPr>
                <w:rFonts w:ascii="Calibri" w:cs="Calibri" w:eastAsia="Calibri" w:hAnsi="Calibri"/>
                <w:color w:val="0D3D6B"/>
                <w:sz w:val="18"/>
                <w:szCs w:val="18"/>
              </w:rPr>
              <w:t xml:space="preserve">The 75% ROI failure rate and 84% scaling failure rate are the strongest enterprise-wide</w:t>
            </w:r>
          </w:p>
          <w:p>
            <w:pPr>
              <w:spacing w:after="30" w:before="30"/>
            </w:pPr>
            <w:r>
              <w:rPr>
                <w:rFonts w:ascii="Calibri" w:cs="Calibri" w:eastAsia="Calibri" w:hAnsi="Calibri"/>
                <w:color w:val="0D3D6B"/>
                <w:sz w:val="18"/>
                <w:szCs w:val="18"/>
              </w:rPr>
              <w:t xml:space="preserve">probability signals in this dataset. They apply across organizations, not just IBM.</w:t>
            </w:r>
          </w:p>
          <w:p>
            <w:pPr>
              <w:spacing w:after="30" w:before="30"/>
            </w:pPr>
            <w:r>
              <w:rPr>
                <w:rFonts w:ascii="Calibri" w:cs="Calibri" w:eastAsia="Calibri" w:hAnsi="Calibri"/>
                <w:color w:val="0D3D6B"/>
                <w:sz w:val="18"/>
                <w:szCs w:val="18"/>
              </w:rPr>
              <w:t xml:space="preserve">Do not treat any individual case success as evidence against the base rate.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03</w:t>
            </w:r>
          </w:p>
        </w:tc>
        <w:tc>
          <w:tcPr>
            <w:tcW w:type="dxa" w:w="8640"/>
            <w:tcBorders>
              <w:top w:val="none" w:color="FFFFFF" w:sz="0"/>
              <w:left w:val="none" w:color="FFFFFF" w:sz="0"/>
              <w:bottom w:val="none" w:color="FFFFFF" w:sz="0"/>
              <w:right w:val="none" w:color="FFFFFF" w:sz="0"/>
            </w:tcBorders>
            <w:shd w:fill="1B4F8A" w:val="clear"/>
            <w:tcMar>
              <w:top w:type="dxa" w:w="100"/>
              <w:left w:type="dxa" w:w="200"/>
              <w:bottom w:type="dxa" w:w="100"/>
              <w:right w:type="dxa" w:w="120"/>
            </w:tcMar>
            <w:vAlign w:val="center"/>
          </w:tcPr>
          <w:p>
            <w:r>
              <w:rPr>
                <w:rFonts w:ascii="Calibri" w:cs="Calibri" w:eastAsia="Calibri" w:hAnsi="Calibri"/>
                <w:b/>
                <w:bCs/>
                <w:color w:val="FFFFFF"/>
                <w:sz w:val="26"/>
                <w:szCs w:val="26"/>
              </w:rPr>
              <w:t xml:space="preserve">Escalation Architecture Framework</w:t>
            </w:r>
          </w:p>
        </w:tc>
      </w:tr>
    </w:tbl>
    <w:p/>
    <w:p>
      <w:pPr>
        <w:spacing w:after="60" w:before="60"/>
      </w:pPr>
      <w:r>
        <w:rPr>
          <w:rFonts w:ascii="Calibri" w:cs="Calibri" w:eastAsia="Calibri" w:hAnsi="Calibri"/>
          <w:b w:val="false"/>
          <w:bCs w:val="false"/>
          <w:color w:val="0D2137"/>
          <w:sz w:val="20"/>
          <w:szCs w:val="20"/>
        </w:rPr>
        <w:t xml:space="preserve">Derived from the Klarna failure (verified) and the IBM 94% containment rate (verified). Escalation is not a feature — it is an architectural precondition. Systems without it accumulate edge-case failures until the damage is systemic.</w:t>
      </w:r>
    </w:p>
    <w:p/>
    <w:p>
      <w:pPr>
        <w:pStyle w:val="Heading2"/>
        <w:spacing w:after="80" w:before="320"/>
      </w:pPr>
      <w:r>
        <w:rPr>
          <w:rFonts w:ascii="Calibri" w:cs="Calibri" w:eastAsia="Calibri" w:hAnsi="Calibri"/>
          <w:b/>
          <w:bCs/>
          <w:color w:val="1B4F8A"/>
          <w:sz w:val="26"/>
          <w:szCs w:val="26"/>
        </w:rPr>
        <w:t xml:space="preserve">3.1  The Escalation Precondition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E6F4EC" w:val="clear"/>
            <w:tcMar>
              <w:top w:type="dxa" w:w="120"/>
              <w:left w:type="dxa" w:w="180"/>
              <w:bottom w:type="dxa" w:w="120"/>
              <w:right w:type="dxa" w:w="180"/>
            </w:tcMar>
          </w:tcPr>
          <w:p>
            <w:pPr>
              <w:spacing w:after="60" w:before="40"/>
            </w:pPr>
            <w:r>
              <w:rPr>
                <w:rFonts w:ascii="Calibri" w:cs="Calibri" w:eastAsia="Calibri" w:hAnsi="Calibri"/>
                <w:b/>
                <w:bCs/>
                <w:color w:val="1A5C38"/>
                <w:sz w:val="19"/>
                <w:szCs w:val="19"/>
              </w:rPr>
              <w:t xml:space="preserve">VERIFIED ANCHOR</w:t>
            </w:r>
          </w:p>
          <w:p>
            <w:pPr>
              <w:spacing w:after="30" w:before="30"/>
            </w:pPr>
            <w:r>
              <w:rPr>
                <w:rFonts w:ascii="Calibri" w:cs="Calibri" w:eastAsia="Calibri" w:hAnsi="Calibri"/>
                <w:color w:val="1A5C38"/>
                <w:sz w:val="18"/>
                <w:szCs w:val="18"/>
              </w:rPr>
              <w:t xml:space="preserve">Source: Klarna failure (VERIFIED, Tier 1–3) + IBM AskHR containment design (VERIFIED, Tier 1).</w:t>
            </w:r>
          </w:p>
          <w:p>
            <w:pPr>
              <w:spacing w:after="30" w:before="30"/>
            </w:pPr>
            <w:r>
              <w:rPr>
                <w:rFonts w:ascii="Calibri" w:cs="Calibri" w:eastAsia="Calibri" w:hAnsi="Calibri"/>
                <w:color w:val="1A5C38"/>
                <w:sz w:val="18"/>
                <w:szCs w:val="18"/>
              </w:rPr>
              <w:t xml:space="preserve"/>
            </w:r>
          </w:p>
          <w:p>
            <w:pPr>
              <w:spacing w:after="30" w:before="30"/>
            </w:pPr>
            <w:r>
              <w:rPr>
                <w:rFonts w:ascii="Calibri" w:cs="Calibri" w:eastAsia="Calibri" w:hAnsi="Calibri"/>
                <w:color w:val="1A5C38"/>
                <w:sz w:val="18"/>
                <w:szCs w:val="18"/>
              </w:rPr>
              <w:t xml:space="preserve">Klarna deployed AI to handle 100% of customer service volume. No escalation path existed for</w:t>
            </w:r>
          </w:p>
          <w:p>
            <w:pPr>
              <w:spacing w:after="30" w:before="30"/>
            </w:pPr>
            <w:r>
              <w:rPr>
                <w:rFonts w:ascii="Calibri" w:cs="Calibri" w:eastAsia="Calibri" w:hAnsi="Calibri"/>
                <w:color w:val="1A5C38"/>
                <w:sz w:val="18"/>
                <w:szCs w:val="18"/>
              </w:rPr>
              <w:t xml:space="preserve">complex or edge cases. Result: resolution time improved while customer satisfaction degraded.</w:t>
            </w:r>
          </w:p>
          <w:p>
            <w:pPr>
              <w:spacing w:after="30" w:before="30"/>
            </w:pPr>
            <w:r>
              <w:rPr>
                <w:rFonts w:ascii="Calibri" w:cs="Calibri" w:eastAsia="Calibri" w:hAnsi="Calibri"/>
                <w:color w:val="1A5C38"/>
                <w:sz w:val="18"/>
                <w:szCs w:val="18"/>
              </w:rPr>
              <w:t xml:space="preserve">The reversal (reinvestment in human staff) confirms that the absence of escalation, not the</w:t>
            </w:r>
          </w:p>
          <w:p>
            <w:pPr>
              <w:spacing w:after="30" w:before="30"/>
            </w:pPr>
            <w:r>
              <w:rPr>
                <w:rFonts w:ascii="Calibri" w:cs="Calibri" w:eastAsia="Calibri" w:hAnsi="Calibri"/>
                <w:color w:val="1A5C38"/>
                <w:sz w:val="18"/>
                <w:szCs w:val="18"/>
              </w:rPr>
              <w:t xml:space="preserve">AI technology itself, was the failure mechanism.</w:t>
            </w:r>
          </w:p>
          <w:p>
            <w:pPr>
              <w:spacing w:after="30" w:before="30"/>
            </w:pPr>
            <w:r>
              <w:rPr>
                <w:rFonts w:ascii="Calibri" w:cs="Calibri" w:eastAsia="Calibri" w:hAnsi="Calibri"/>
                <w:color w:val="1A5C38"/>
                <w:sz w:val="18"/>
                <w:szCs w:val="18"/>
              </w:rPr>
              <w:t xml:space="preserve"/>
            </w:r>
          </w:p>
          <w:p>
            <w:pPr>
              <w:spacing w:after="30" w:before="30"/>
            </w:pPr>
            <w:r>
              <w:rPr>
                <w:rFonts w:ascii="Calibri" w:cs="Calibri" w:eastAsia="Calibri" w:hAnsi="Calibri"/>
                <w:color w:val="1A5C38"/>
                <w:sz w:val="18"/>
                <w:szCs w:val="18"/>
              </w:rPr>
              <w:t xml:space="preserve">IBM AskHR achieved 94% containment — implying a designed 6% overflow to human agents.</w:t>
            </w:r>
          </w:p>
          <w:p>
            <w:pPr>
              <w:spacing w:after="30" w:before="30"/>
            </w:pPr>
            <w:r>
              <w:rPr>
                <w:rFonts w:ascii="Calibri" w:cs="Calibri" w:eastAsia="Calibri" w:hAnsi="Calibri"/>
                <w:color w:val="1A5C38"/>
                <w:sz w:val="18"/>
                <w:szCs w:val="18"/>
              </w:rPr>
              <w:t xml:space="preserve">This 6% is the escalation architecture: it prevents edge-case accumulation.</w:t>
            </w:r>
          </w:p>
        </w:tc>
      </w:tr>
    </w:tbl>
    <w:p/>
    <w:p>
      <w:pPr>
        <w:pStyle w:val="Heading2"/>
        <w:spacing w:after="80" w:before="320"/>
      </w:pPr>
      <w:r>
        <w:rPr>
          <w:rFonts w:ascii="Calibri" w:cs="Calibri" w:eastAsia="Calibri" w:hAnsi="Calibri"/>
          <w:b/>
          <w:bCs/>
          <w:color w:val="1B4F8A"/>
          <w:sz w:val="26"/>
          <w:szCs w:val="26"/>
        </w:rPr>
        <w:t xml:space="preserve">3.2  Escalation Design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Escalation Component</w:t>
            </w:r>
          </w:p>
        </w:tc>
        <w:tc>
          <w:tcPr>
            <w:tcW w:type="dxa" w:w="20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Definition</w:t>
            </w:r>
          </w:p>
        </w:tc>
        <w:tc>
          <w:tcPr>
            <w:tcW w:type="dxa" w:w="25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Design Requirement</w:t>
            </w:r>
          </w:p>
        </w:tc>
        <w:tc>
          <w:tcPr>
            <w:tcW w:type="dxa" w:w="28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Failure Mode if Absent</w:t>
            </w:r>
          </w:p>
        </w:tc>
      </w:tr>
      <w:tr>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Complexity Gate</w:t>
            </w:r>
          </w:p>
        </w:tc>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Classification layer that routes cases by complexity tier</w:t>
            </w:r>
          </w:p>
        </w:tc>
        <w:tc>
          <w:tcPr>
            <w:tcW w:type="dxa" w:w="25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Defined before deployment; tested on representative edge cases</w:t>
            </w:r>
          </w:p>
        </w:tc>
        <w:tc>
          <w:tcPr>
            <w:tcW w:type="dxa" w:w="28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High-complexity cases routed to automation; mishandled</w:t>
            </w:r>
          </w:p>
        </w:tc>
      </w:tr>
      <w:tr>
        <w:tc>
          <w:tcPr>
            <w:tcW w:type="dxa" w:w="2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Overflow SLA</w:t>
            </w:r>
          </w:p>
        </w:tc>
        <w:tc>
          <w:tcPr>
            <w:tcW w:type="dxa" w:w="2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Time-bound escalation trigger when AI confidence falls below threshold</w:t>
            </w:r>
          </w:p>
        </w:tc>
        <w:tc>
          <w:tcPr>
            <w:tcW w:type="dxa" w:w="25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Confidence score threshold defined; SLA agreed with human team</w:t>
            </w:r>
          </w:p>
        </w:tc>
        <w:tc>
          <w:tcPr>
            <w:tcW w:type="dxa" w:w="28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Cases held in automation loop indefinitely; user frustration</w:t>
            </w:r>
          </w:p>
        </w:tc>
      </w:tr>
      <w:tr>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Human Queue Management</w:t>
            </w:r>
          </w:p>
        </w:tc>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Capacity planning for human agents receiving escalated cases</w:t>
            </w:r>
          </w:p>
        </w:tc>
        <w:tc>
          <w:tcPr>
            <w:tcW w:type="dxa" w:w="25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Not reduced below escalation overflow volume</w:t>
            </w:r>
          </w:p>
        </w:tc>
        <w:tc>
          <w:tcPr>
            <w:tcW w:type="dxa" w:w="28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Human queue overwhelmed after escalation trigger; no improvement</w:t>
            </w:r>
          </w:p>
        </w:tc>
      </w:tr>
      <w:tr>
        <w:tc>
          <w:tcPr>
            <w:tcW w:type="dxa" w:w="2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Satisfaction Monitoring</w:t>
            </w:r>
          </w:p>
        </w:tc>
        <w:tc>
          <w:tcPr>
            <w:tcW w:type="dxa" w:w="2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Independent measurement of user outcome quality, not just resolution time</w:t>
            </w:r>
          </w:p>
        </w:tc>
        <w:tc>
          <w:tcPr>
            <w:tcW w:type="dxa" w:w="25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Tracked from Day 1; reviewed on same cadence as operational metrics</w:t>
            </w:r>
          </w:p>
        </w:tc>
        <w:tc>
          <w:tcPr>
            <w:tcW w:type="dxa" w:w="28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KPI mismatch: operational success masks satisfaction failure</w:t>
            </w:r>
          </w:p>
        </w:tc>
      </w:tr>
      <w:tr>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Feedback Loop</w:t>
            </w:r>
          </w:p>
        </w:tc>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Data from escalated cases fed back to improve automation routing</w:t>
            </w:r>
          </w:p>
        </w:tc>
        <w:tc>
          <w:tcPr>
            <w:tcW w:type="dxa" w:w="25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Quarterly model review cycle at minimum</w:t>
            </w:r>
          </w:p>
        </w:tc>
        <w:tc>
          <w:tcPr>
            <w:tcW w:type="dxa" w:w="28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rate stagnant; no learning from failure cases</w:t>
            </w:r>
          </w:p>
        </w:tc>
      </w:tr>
    </w:tbl>
    <w:p/>
    <w:p>
      <w:pPr>
        <w:pStyle w:val="Heading2"/>
        <w:spacing w:after="80" w:before="320"/>
      </w:pPr>
      <w:r>
        <w:rPr>
          <w:rFonts w:ascii="Calibri" w:cs="Calibri" w:eastAsia="Calibri" w:hAnsi="Calibri"/>
          <w:b/>
          <w:bCs/>
          <w:color w:val="1B4F8A"/>
          <w:sz w:val="26"/>
          <w:szCs w:val="26"/>
        </w:rPr>
        <w:t xml:space="preserve">3.3  Escalation Rate Target Range</w:t>
      </w:r>
    </w:p>
    <w:p>
      <w:pPr>
        <w:spacing w:after="60" w:before="60"/>
      </w:pPr>
      <w:r>
        <w:rPr>
          <w:rFonts w:ascii="Calibri" w:cs="Calibri" w:eastAsia="Calibri" w:hAnsi="Calibri"/>
          <w:b w:val="false"/>
          <w:bCs w:val="false"/>
          <w:color w:val="0D2137"/>
          <w:sz w:val="20"/>
          <w:szCs w:val="20"/>
        </w:rPr>
        <w:t xml:space="preserve">IBM's 94% containment rate provides the only primary-adjacent escalation benchmark in this dataset. It implies an escalation rate of ~6%. This is the reference point, not a universal target.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Escalation Rate</w:t>
            </w:r>
          </w:p>
        </w:tc>
        <w:tc>
          <w:tcPr>
            <w:tcW w:type="dxa" w:w="40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Interpretation</w:t>
            </w:r>
          </w:p>
        </w:tc>
        <w:tc>
          <w:tcPr>
            <w:tcW w:type="dxa" w:w="35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Advisory Action</w:t>
            </w:r>
          </w:p>
        </w:tc>
      </w:tr>
      <w:tr>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0% (Klarna model)</w:t>
            </w:r>
          </w:p>
        </w:tc>
        <w:tc>
          <w:tcPr>
            <w:tcW w:type="dxa" w:w="40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CRITICAL: No escalation path. Edge-case accumulation guaranteed.</w:t>
            </w:r>
          </w:p>
        </w:tc>
        <w:tc>
          <w:tcPr>
            <w:tcW w:type="dxa" w:w="3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Stop deployment. Design escalation architecture before resuming.</w:t>
            </w:r>
          </w:p>
        </w:tc>
      </w:tr>
      <w:tr>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&lt; 3%</w:t>
            </w:r>
          </w:p>
        </w:tc>
        <w:tc>
          <w:tcPr>
            <w:tcW w:type="dxa" w:w="4000"/>
            <w:tcBorders>
              <w:top w:val="single" w:color="D0D9E4" w:sz="1"/>
              <w:left w:val="single" w:color="D0D9E4" w:sz="1"/>
              <w:bottom w:val="single" w:color="D0D9E4" w:sz="1"/>
              <w:right w:val="single" w:color="D0D9E4" w:sz="1"/>
            </w:tcBorders>
            <w:shd w:fill="FFF8D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614A00"/>
                <w:sz w:val="18"/>
                <w:szCs w:val="18"/>
              </w:rPr>
              <w:t xml:space="preserve">⚠ Potentially under-escalating. Complex cases may be mishandled without triggering escalation.</w:t>
            </w:r>
          </w:p>
        </w:tc>
        <w:tc>
          <w:tcPr>
            <w:tcW w:type="dxa" w:w="35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Audit case resolution quality independently of escalation metrics.</w:t>
            </w:r>
          </w:p>
        </w:tc>
      </w:tr>
      <w:tr>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3–10% (IBM reference range)</w:t>
            </w:r>
          </w:p>
        </w:tc>
        <w:tc>
          <w:tcPr>
            <w:tcW w:type="dxa" w:w="4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Operational range. Human capacity must be sized accordingly.</w:t>
            </w:r>
          </w:p>
        </w:tc>
        <w:tc>
          <w:tcPr>
            <w:tcW w:type="dxa" w:w="3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Monitor quality of escalated cases. Review routing logic quarterly.</w:t>
            </w:r>
          </w:p>
        </w:tc>
      </w:tr>
      <w:tr>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&gt; 15%</w:t>
            </w:r>
          </w:p>
        </w:tc>
        <w:tc>
          <w:tcPr>
            <w:tcW w:type="dxa" w:w="4000"/>
            <w:tcBorders>
              <w:top w:val="single" w:color="D0D9E4" w:sz="1"/>
              <w:left w:val="single" w:color="D0D9E4" w:sz="1"/>
              <w:bottom w:val="single" w:color="D0D9E4" w:sz="1"/>
              <w:right w:val="single" w:color="D0D9E4" w:sz="1"/>
            </w:tcBorders>
            <w:shd w:fill="FFF8D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614A00"/>
                <w:sz w:val="18"/>
                <w:szCs w:val="18"/>
              </w:rPr>
              <w:t xml:space="preserve">⚠ Model underperforming or scope mismatched. Automation value is limited.</w:t>
            </w:r>
          </w:p>
        </w:tc>
        <w:tc>
          <w:tcPr>
            <w:tcW w:type="dxa" w:w="35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Narrow automation scope to high-confidence use cases only.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E3EEF8" w:val="clear"/>
            <w:tcMar>
              <w:top w:type="dxa" w:w="120"/>
              <w:left w:type="dxa" w:w="180"/>
              <w:bottom w:type="dxa" w:w="120"/>
              <w:right w:type="dxa" w:w="180"/>
            </w:tcMar>
          </w:tcPr>
          <w:p>
            <w:pPr>
              <w:spacing w:after="60" w:before="40"/>
            </w:pPr>
            <w:r>
              <w:rPr>
                <w:rFonts w:ascii="Calibri" w:cs="Calibri" w:eastAsia="Calibri" w:hAnsi="Calibri"/>
                <w:b/>
                <w:bCs/>
                <w:color w:val="0D3D6B"/>
                <w:sz w:val="19"/>
                <w:szCs w:val="19"/>
              </w:rPr>
              <w:t xml:space="preserve">STRATEGIC INFERENCE</w:t>
            </w:r>
          </w:p>
          <w:p>
            <w:pPr>
              <w:spacing w:after="30" w:before="30"/>
            </w:pPr>
            <w:r>
              <w:rPr>
                <w:rFonts w:ascii="Calibri" w:cs="Calibri" w:eastAsia="Calibri" w:hAnsi="Calibri"/>
                <w:color w:val="0D3D6B"/>
                <w:sz w:val="18"/>
                <w:szCs w:val="18"/>
              </w:rPr>
              <w:t xml:space="preserve">The 3–10% escalation range is STRATEGIC INFERENCE, not a validated industry standard.</w:t>
            </w:r>
          </w:p>
          <w:p>
            <w:pPr>
              <w:spacing w:after="30" w:before="30"/>
            </w:pPr>
            <w:r>
              <w:rPr>
                <w:rFonts w:ascii="Calibri" w:cs="Calibri" w:eastAsia="Calibri" w:hAnsi="Calibri"/>
                <w:color w:val="0D3D6B"/>
                <w:sz w:val="18"/>
                <w:szCs w:val="18"/>
              </w:rPr>
              <w:t xml:space="preserve">IBM's 94% containment (6% escalation) is the only primary data point in this dataset.</w:t>
            </w:r>
          </w:p>
          <w:p>
            <w:pPr>
              <w:spacing w:after="30" w:before="30"/>
            </w:pPr>
            <w:r>
              <w:rPr>
                <w:rFonts w:ascii="Calibri" w:cs="Calibri" w:eastAsia="Calibri" w:hAnsi="Calibri"/>
                <w:color w:val="0D3D6B"/>
                <w:sz w:val="18"/>
                <w:szCs w:val="18"/>
              </w:rPr>
              <w:t xml:space="preserve">Client-specific targets must be calibrated to use case complexity and tolerance for error.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04</w:t>
            </w:r>
          </w:p>
        </w:tc>
        <w:tc>
          <w:tcPr>
            <w:tcW w:type="dxa" w:w="8640"/>
            <w:tcBorders>
              <w:top w:val="none" w:color="FFFFFF" w:sz="0"/>
              <w:left w:val="none" w:color="FFFFFF" w:sz="0"/>
              <w:bottom w:val="none" w:color="FFFFFF" w:sz="0"/>
              <w:right w:val="none" w:color="FFFFFF" w:sz="0"/>
            </w:tcBorders>
            <w:shd w:fill="1B4F8A" w:val="clear"/>
            <w:tcMar>
              <w:top w:type="dxa" w:w="100"/>
              <w:left w:type="dxa" w:w="200"/>
              <w:bottom w:type="dxa" w:w="100"/>
              <w:right w:type="dxa" w:w="120"/>
            </w:tcMar>
            <w:vAlign w:val="center"/>
          </w:tcPr>
          <w:p>
            <w:r>
              <w:rPr>
                <w:rFonts w:ascii="Calibri" w:cs="Calibri" w:eastAsia="Calibri" w:hAnsi="Calibri"/>
                <w:b/>
                <w:bCs/>
                <w:color w:val="FFFFFF"/>
                <w:sz w:val="26"/>
                <w:szCs w:val="26"/>
              </w:rPr>
              <w:t xml:space="preserve">KPI Failure Framework</w:t>
            </w:r>
          </w:p>
        </w:tc>
      </w:tr>
    </w:tbl>
    <w:p/>
    <w:p>
      <w:pPr>
        <w:spacing w:after="60" w:before="60"/>
      </w:pPr>
      <w:r>
        <w:rPr>
          <w:rFonts w:ascii="Calibri" w:cs="Calibri" w:eastAsia="Calibri" w:hAnsi="Calibri"/>
          <w:b w:val="false"/>
          <w:bCs w:val="false"/>
          <w:color w:val="0D2137"/>
          <w:sz w:val="20"/>
          <w:szCs w:val="20"/>
        </w:rPr>
        <w:t xml:space="preserve">The KPI failure framework maps how measurement design errors propagate from governance to operations to business consequence. The Klarna case provides the verified causal chain; the framework generalizes it.</w:t>
      </w:r>
    </w:p>
    <w:p/>
    <w:p>
      <w:pPr>
        <w:pStyle w:val="Heading2"/>
        <w:spacing w:after="80" w:before="320"/>
      </w:pPr>
      <w:r>
        <w:rPr>
          <w:rFonts w:ascii="Calibri" w:cs="Calibri" w:eastAsia="Calibri" w:hAnsi="Calibri"/>
          <w:b/>
          <w:bCs/>
          <w:color w:val="1B4F8A"/>
          <w:sz w:val="26"/>
          <w:szCs w:val="26"/>
        </w:rPr>
        <w:t xml:space="preserve">4.1  The KPI Failure Causal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E6F4EC" w:val="clear"/>
            <w:tcMar>
              <w:top w:type="dxa" w:w="120"/>
              <w:left w:type="dxa" w:w="180"/>
              <w:bottom w:type="dxa" w:w="120"/>
              <w:right w:type="dxa" w:w="180"/>
            </w:tcMar>
          </w:tcPr>
          <w:p>
            <w:pPr>
              <w:spacing w:after="60" w:before="40"/>
            </w:pPr>
            <w:r>
              <w:rPr>
                <w:rFonts w:ascii="Calibri" w:cs="Calibri" w:eastAsia="Calibri" w:hAnsi="Calibri"/>
                <w:b/>
                <w:bCs/>
                <w:color w:val="1A5C38"/>
                <w:sz w:val="19"/>
                <w:szCs w:val="19"/>
              </w:rPr>
              <w:t xml:space="preserve">VERIFIED CAUSAL ANCHOR</w:t>
            </w:r>
          </w:p>
          <w:p>
            <w:pPr>
              <w:spacing w:after="30" w:before="30"/>
            </w:pPr>
            <w:r>
              <w:rPr>
                <w:rFonts w:ascii="Calibri" w:cs="Calibri" w:eastAsia="Calibri" w:hAnsi="Calibri"/>
                <w:color w:val="1A5C38"/>
                <w:sz w:val="18"/>
                <w:szCs w:val="18"/>
              </w:rPr>
              <w:t xml:space="preserve">VERIFIED (Klarna, Tier 1–3): Klarna selected resolution time as primary KPI.</w:t>
            </w:r>
          </w:p>
          <w:p>
            <w:pPr>
              <w:spacing w:after="30" w:before="30"/>
            </w:pPr>
            <w:r>
              <w:rPr>
                <w:rFonts w:ascii="Calibri" w:cs="Calibri" w:eastAsia="Calibri" w:hAnsi="Calibri"/>
                <w:color w:val="1A5C38"/>
                <w:sz w:val="18"/>
                <w:szCs w:val="18"/>
              </w:rPr>
              <w:t xml:space="preserve">Resolution time improved: 11 min → 2 min (82% faster). VERIFIED.</w:t>
            </w:r>
          </w:p>
          <w:p>
            <w:pPr>
              <w:spacing w:after="30" w:before="30"/>
            </w:pPr>
            <w:r>
              <w:rPr>
                <w:rFonts w:ascii="Calibri" w:cs="Calibri" w:eastAsia="Calibri" w:hAnsi="Calibri"/>
                <w:color w:val="1A5C38"/>
                <w:sz w:val="18"/>
                <w:szCs w:val="18"/>
              </w:rPr>
              <w:t xml:space="preserve">Repeat issues reduced 25%. VERIFIED.</w:t>
            </w:r>
          </w:p>
          <w:p>
            <w:pPr>
              <w:spacing w:after="30" w:before="30"/>
            </w:pPr>
            <w:r>
              <w:rPr>
                <w:rFonts w:ascii="Calibri" w:cs="Calibri" w:eastAsia="Calibri" w:hAnsi="Calibri"/>
                <w:color w:val="1A5C38"/>
                <w:sz w:val="18"/>
                <w:szCs w:val="18"/>
              </w:rPr>
              <w:t xml:space="preserve">Customer satisfaction degraded. Strategic reversal followed. VERIFIED.</w:t>
            </w:r>
          </w:p>
          <w:p>
            <w:pPr>
              <w:spacing w:after="30" w:before="30"/>
            </w:pPr>
            <w:r>
              <w:rPr>
                <w:rFonts w:ascii="Calibri" w:cs="Calibri" w:eastAsia="Calibri" w:hAnsi="Calibri"/>
                <w:color w:val="1A5C38"/>
                <w:sz w:val="18"/>
                <w:szCs w:val="18"/>
              </w:rPr>
              <w:t xml:space="preserve"/>
            </w:r>
          </w:p>
          <w:p>
            <w:pPr>
              <w:spacing w:after="30" w:before="30"/>
            </w:pPr>
            <w:r>
              <w:rPr>
                <w:rFonts w:ascii="Calibri" w:cs="Calibri" w:eastAsia="Calibri" w:hAnsi="Calibri"/>
                <w:color w:val="1A5C38"/>
                <w:sz w:val="18"/>
                <w:szCs w:val="18"/>
              </w:rPr>
              <w:t xml:space="preserve">Causal mechanism: The KPI framework optimized for speed without a complementary constraint</w:t>
            </w:r>
          </w:p>
          <w:p>
            <w:pPr>
              <w:spacing w:after="30" w:before="30"/>
            </w:pPr>
            <w:r>
              <w:rPr>
                <w:rFonts w:ascii="Calibri" w:cs="Calibri" w:eastAsia="Calibri" w:hAnsi="Calibri"/>
                <w:color w:val="1A5C38"/>
                <w:sz w:val="18"/>
                <w:szCs w:val="18"/>
              </w:rPr>
              <w:t xml:space="preserve">on satisfaction or churn. Improvement on the measured dimension coexisted with</w:t>
            </w:r>
          </w:p>
          <w:p>
            <w:pPr>
              <w:spacing w:after="30" w:before="30"/>
            </w:pPr>
            <w:r>
              <w:rPr>
                <w:rFonts w:ascii="Calibri" w:cs="Calibri" w:eastAsia="Calibri" w:hAnsi="Calibri"/>
                <w:color w:val="1A5C38"/>
                <w:sz w:val="18"/>
                <w:szCs w:val="18"/>
              </w:rPr>
              <w:t xml:space="preserve">degradation on the unmeasured dimension that determined business outcome.</w:t>
            </w:r>
          </w:p>
        </w:tc>
      </w:tr>
    </w:tbl>
    <w:p/>
    <w:p>
      <w:pPr>
        <w:pStyle w:val="Heading2"/>
        <w:spacing w:after="80" w:before="320"/>
      </w:pPr>
      <w:r>
        <w:rPr>
          <w:rFonts w:ascii="Calibri" w:cs="Calibri" w:eastAsia="Calibri" w:hAnsi="Calibri"/>
          <w:b/>
          <w:bCs/>
          <w:color w:val="1B4F8A"/>
          <w:sz w:val="26"/>
          <w:szCs w:val="26"/>
        </w:rPr>
        <w:t xml:space="preserve">4.2  KPI Failure Typology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000"/>
        <w:gridCol w:w="2100"/>
        <w:gridCol w:w="1460"/>
      </w:tblGrid>
      <w:tr>
        <w:tc>
          <w:tcPr>
            <w:tcW w:type="dxa" w:w="17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KPI Failure Type</w:t>
            </w:r>
          </w:p>
        </w:tc>
        <w:tc>
          <w:tcPr>
            <w:tcW w:type="dxa" w:w="21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Definition</w:t>
            </w:r>
          </w:p>
        </w:tc>
        <w:tc>
          <w:tcPr>
            <w:tcW w:type="dxa" w:w="20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Detection Signal</w:t>
            </w:r>
          </w:p>
        </w:tc>
        <w:tc>
          <w:tcPr>
            <w:tcW w:type="dxa" w:w="21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Business Consequence</w:t>
            </w:r>
          </w:p>
        </w:tc>
        <w:tc>
          <w:tcPr>
            <w:tcW w:type="dxa" w:w="14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w:t>
            </w:r>
          </w:p>
        </w:tc>
      </w:tr>
      <w:tr>
        <w:tc>
          <w:tcPr>
            <w:tcW w:type="dxa" w:w="17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Single-Metric Governance</w:t>
            </w:r>
          </w:p>
        </w:tc>
        <w:tc>
          <w:tcPr>
            <w:tcW w:type="dxa" w:w="21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One operational metric tracked; no complementary outcome metric</w:t>
            </w:r>
          </w:p>
        </w:tc>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satisfaction or churn metric in KPI dashboard</w:t>
            </w:r>
          </w:p>
        </w:tc>
        <w:tc>
          <w:tcPr>
            <w:tcW w:type="dxa" w:w="21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Operational improvement masks business degradation</w:t>
            </w:r>
          </w:p>
        </w:tc>
        <w:tc>
          <w:tcPr>
            <w:tcW w:type="dxa" w:w="14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w:t>
            </w:r>
          </w:p>
        </w:tc>
      </w:tr>
      <w:tr>
        <w:tc>
          <w:tcPr>
            <w:tcW w:type="dxa" w:w="17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Activity vs. Outcome Confusion</w:t>
            </w:r>
          </w:p>
        </w:tc>
        <w:tc>
          <w:tcPr>
            <w:tcW w:type="dxa" w:w="21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Measuring AI activity (queries handled, speed) as proxy for business outcome</w:t>
            </w:r>
          </w:p>
        </w:tc>
        <w:tc>
          <w:tcPr>
            <w:tcW w:type="dxa" w:w="2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ROI reported in throughput units (conversations, hours), not revenue or retention units</w:t>
            </w:r>
          </w:p>
        </w:tc>
        <w:tc>
          <w:tcPr>
            <w:tcW w:type="dxa" w:w="21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Throughput success ≠ business value; ROI claim is unsupported</w:t>
            </w:r>
          </w:p>
        </w:tc>
        <w:tc>
          <w:tcPr>
            <w:tcW w:type="dxa" w:w="14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17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Adoption Metric Inflation</w:t>
            </w:r>
          </w:p>
        </w:tc>
        <w:tc>
          <w:tcPr>
            <w:tcW w:type="dxa" w:w="21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System throughput (% of queries handled by AI) reported as user adoption rate</w:t>
            </w:r>
          </w:p>
        </w:tc>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per-user behavioral adoption data; only aggregate system volume</w:t>
            </w:r>
          </w:p>
        </w:tc>
        <w:tc>
          <w:tcPr>
            <w:tcW w:type="dxa" w:w="21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Adoption appears high; actual user engagement and satisfaction unknown</w:t>
            </w:r>
          </w:p>
        </w:tc>
        <w:tc>
          <w:tcPr>
            <w:tcW w:type="dxa" w:w="14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17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Governance Review Lag</w:t>
            </w:r>
          </w:p>
        </w:tc>
        <w:tc>
          <w:tcPr>
            <w:tcW w:type="dxa" w:w="21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KPI review cycle longer than customer impact cycle</w:t>
            </w:r>
          </w:p>
        </w:tc>
        <w:tc>
          <w:tcPr>
            <w:tcW w:type="dxa" w:w="2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Quarterly or annual review cadence for a real-time customer-facing system</w:t>
            </w:r>
          </w:p>
        </w:tc>
        <w:tc>
          <w:tcPr>
            <w:tcW w:type="dxa" w:w="21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Damage accumulates for months before governance review triggers corrective action</w:t>
            </w:r>
          </w:p>
        </w:tc>
        <w:tc>
          <w:tcPr>
            <w:tcW w:type="dxa" w:w="1460"/>
            <w:tcBorders>
              <w:top w:val="single" w:color="D0D9E4" w:sz="1"/>
              <w:left w:val="single" w:color="D0D9E4" w:sz="1"/>
              <w:bottom w:val="single" w:color="D0D9E4" w:sz="1"/>
              <w:right w:val="single" w:color="D0D9E4" w:sz="1"/>
            </w:tcBorders>
            <w:shd w:fill="FFF8D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614A00"/>
                <w:sz w:val="18"/>
                <w:szCs w:val="18"/>
              </w:rPr>
              <w:t xml:space="preserve">INTERPRETATION (Klarna timing)</w:t>
            </w:r>
          </w:p>
        </w:tc>
      </w:tr>
      <w:tr>
        <w:tc>
          <w:tcPr>
            <w:tcW w:type="dxa" w:w="17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Evidence Opacity in Reporting</w:t>
            </w:r>
          </w:p>
        </w:tc>
        <w:tc>
          <w:tcPr>
            <w:tcW w:type="dxa" w:w="21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Internal ROI claims constructed from unverified assumptions, presented as fact</w:t>
            </w:r>
          </w:p>
        </w:tc>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ROI figures cannot be traced to audited primary source</w:t>
            </w:r>
          </w:p>
        </w:tc>
        <w:tc>
          <w:tcPr>
            <w:tcW w:type="dxa" w:w="21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Decision-making based on fabricated certainty; compounding investment risk</w:t>
            </w:r>
          </w:p>
        </w:tc>
        <w:tc>
          <w:tcPr>
            <w:tcW w:type="dxa" w:w="14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(audit finding)</w:t>
            </w:r>
          </w:p>
        </w:tc>
      </w:tr>
    </w:tbl>
    <w:p/>
    <w:p>
      <w:pPr>
        <w:pStyle w:val="Heading2"/>
        <w:spacing w:after="80" w:before="320"/>
      </w:pPr>
      <w:r>
        <w:rPr>
          <w:rFonts w:ascii="Calibri" w:cs="Calibri" w:eastAsia="Calibri" w:hAnsi="Calibri"/>
          <w:b/>
          <w:bCs/>
          <w:color w:val="1B4F8A"/>
          <w:sz w:val="26"/>
          <w:szCs w:val="26"/>
        </w:rPr>
        <w:t xml:space="preserve">4.3  Required KPI Architecture for AI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Metric Layer</w:t>
            </w:r>
          </w:p>
        </w:tc>
        <w:tc>
          <w:tcPr>
            <w:tcW w:type="dxa" w:w="30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What to Measure</w:t>
            </w:r>
          </w:p>
        </w:tc>
        <w:tc>
          <w:tcPr>
            <w:tcW w:type="dxa" w:w="20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Review Cadence</w:t>
            </w:r>
          </w:p>
        </w:tc>
        <w:tc>
          <w:tcPr>
            <w:tcW w:type="dxa" w:w="23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 Level</w:t>
            </w:r>
          </w:p>
        </w:tc>
      </w:tr>
      <w:tr>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Operational Efficiency</w:t>
            </w:r>
          </w:p>
        </w:tc>
        <w:tc>
          <w:tcPr>
            <w:tcW w:type="dxa" w:w="3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Speed, throughput, cost per interaction, containment rate</w:t>
            </w:r>
          </w:p>
        </w:tc>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Weekly</w:t>
            </w:r>
          </w:p>
        </w:tc>
        <w:tc>
          <w:tcPr>
            <w:tcW w:type="dxa" w:w="2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 (best practice)</w:t>
            </w:r>
          </w:p>
        </w:tc>
      </w:tr>
      <w:tr>
        <w:tc>
          <w:tcPr>
            <w:tcW w:type="dxa" w:w="2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User Outcome Quality</w:t>
            </w:r>
          </w:p>
        </w:tc>
        <w:tc>
          <w:tcPr>
            <w:tcW w:type="dxa" w:w="3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Satisfaction score, complaint rate, repeat contact rate</w:t>
            </w:r>
          </w:p>
        </w:tc>
        <w:tc>
          <w:tcPr>
            <w:tcW w:type="dxa" w:w="2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Weekly (customer-facing systems)</w:t>
            </w:r>
          </w:p>
        </w:tc>
        <w:tc>
          <w:tcPr>
            <w:tcW w:type="dxa" w:w="23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requirement (Klarna failure)</w:t>
            </w:r>
          </w:p>
        </w:tc>
      </w:tr>
      <w:tr>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Business Impact</w:t>
            </w:r>
          </w:p>
        </w:tc>
        <w:tc>
          <w:tcPr>
            <w:tcW w:type="dxa" w:w="3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Churn rate, revenue impact, NPS delta attributed to AI intervention</w:t>
            </w:r>
          </w:p>
        </w:tc>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Monthly</w:t>
            </w:r>
          </w:p>
        </w:tc>
        <w:tc>
          <w:tcPr>
            <w:tcW w:type="dxa" w:w="2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2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Adoption Behavioral</w:t>
            </w:r>
          </w:p>
        </w:tc>
        <w:tc>
          <w:tcPr>
            <w:tcW w:type="dxa" w:w="3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Per-user active usage rate, not system throughput</w:t>
            </w:r>
          </w:p>
        </w:tc>
        <w:tc>
          <w:tcPr>
            <w:tcW w:type="dxa" w:w="2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Monthly</w:t>
            </w:r>
          </w:p>
        </w:tc>
        <w:tc>
          <w:tcPr>
            <w:tcW w:type="dxa" w:w="23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Accuracy &amp; Hallucination</w:t>
            </w:r>
          </w:p>
        </w:tc>
        <w:tc>
          <w:tcPr>
            <w:tcW w:type="dxa" w:w="3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Error rate on sampled outputs; human review override rate</w:t>
            </w:r>
          </w:p>
        </w:tc>
        <w:tc>
          <w:tcPr>
            <w:tcW w:type="dxa" w:w="2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Weekly during pilot; monthly at scale</w:t>
            </w:r>
          </w:p>
        </w:tc>
        <w:tc>
          <w:tcPr>
            <w:tcW w:type="dxa" w:w="2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05</w:t>
            </w:r>
          </w:p>
        </w:tc>
        <w:tc>
          <w:tcPr>
            <w:tcW w:type="dxa" w:w="8640"/>
            <w:tcBorders>
              <w:top w:val="none" w:color="FFFFFF" w:sz="0"/>
              <w:left w:val="none" w:color="FFFFFF" w:sz="0"/>
              <w:bottom w:val="none" w:color="FFFFFF" w:sz="0"/>
              <w:right w:val="none" w:color="FFFFFF" w:sz="0"/>
            </w:tcBorders>
            <w:shd w:fill="1B4F8A" w:val="clear"/>
            <w:tcMar>
              <w:top w:type="dxa" w:w="100"/>
              <w:left w:type="dxa" w:w="200"/>
              <w:bottom w:type="dxa" w:w="100"/>
              <w:right w:type="dxa" w:w="120"/>
            </w:tcMar>
            <w:vAlign w:val="center"/>
          </w:tcPr>
          <w:p>
            <w:r>
              <w:rPr>
                <w:rFonts w:ascii="Calibri" w:cs="Calibri" w:eastAsia="Calibri" w:hAnsi="Calibri"/>
                <w:b/>
                <w:bCs/>
                <w:color w:val="FFFFFF"/>
                <w:sz w:val="26"/>
                <w:szCs w:val="26"/>
              </w:rPr>
              <w:t xml:space="preserve">Scaling Failure Mechanics</w:t>
            </w:r>
          </w:p>
        </w:tc>
      </w:tr>
    </w:tbl>
    <w:p/>
    <w:p>
      <w:pPr>
        <w:spacing w:after="60" w:before="60"/>
      </w:pPr>
      <w:r>
        <w:rPr>
          <w:rFonts w:ascii="Calibri" w:cs="Calibri" w:eastAsia="Calibri" w:hAnsi="Calibri"/>
          <w:b w:val="false"/>
          <w:bCs w:val="false"/>
          <w:color w:val="0D2137"/>
          <w:sz w:val="20"/>
          <w:szCs w:val="20"/>
        </w:rPr>
        <w:t xml:space="preserve">Three distinct scaling models emerge from the case dataset. Each carries structural risks. IBM's verified base rate data (16% scale success) provides the only primary-adjacent probability anchor.</w:t>
      </w:r>
    </w:p>
    <w:p/>
    <w:p>
      <w:pPr>
        <w:pStyle w:val="Heading2"/>
        <w:spacing w:after="80" w:before="320"/>
      </w:pPr>
      <w:r>
        <w:rPr>
          <w:rFonts w:ascii="Calibri" w:cs="Calibri" w:eastAsia="Calibri" w:hAnsi="Calibri"/>
          <w:b/>
          <w:bCs/>
          <w:color w:val="1B4F8A"/>
          <w:sz w:val="26"/>
          <w:szCs w:val="26"/>
        </w:rPr>
        <w:t xml:space="preserve">5.1  IBM Base Rate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E6F4EC" w:val="clear"/>
            <w:tcMar>
              <w:top w:type="dxa" w:w="120"/>
              <w:left w:type="dxa" w:w="180"/>
              <w:bottom w:type="dxa" w:w="120"/>
              <w:right w:type="dxa" w:w="180"/>
            </w:tcMar>
          </w:tcPr>
          <w:p>
            <w:pPr>
              <w:spacing w:after="60" w:before="40"/>
            </w:pPr>
            <w:r>
              <w:rPr>
                <w:rFonts w:ascii="Calibri" w:cs="Calibri" w:eastAsia="Calibri" w:hAnsi="Calibri"/>
                <w:b/>
                <w:bCs/>
                <w:color w:val="1A5C38"/>
                <w:sz w:val="19"/>
                <w:szCs w:val="19"/>
              </w:rPr>
              <w:t xml:space="preserve">PRIMARY DATA ANCHOR</w:t>
            </w:r>
          </w:p>
          <w:p>
            <w:pPr>
              <w:spacing w:after="30" w:before="30"/>
            </w:pPr>
            <w:r>
              <w:rPr>
                <w:rFonts w:ascii="Calibri" w:cs="Calibri" w:eastAsia="Calibri" w:hAnsi="Calibri"/>
                <w:color w:val="1A5C38"/>
                <w:sz w:val="18"/>
                <w:szCs w:val="18"/>
              </w:rPr>
              <w:t xml:space="preserve">VERIFIED (Tier 1 — Alice Labs 2026 benchmark, citing IBM internal data):</w:t>
            </w:r>
          </w:p>
          <w:p>
            <w:pPr>
              <w:spacing w:after="30" w:before="30"/>
            </w:pPr>
            <w:r>
              <w:rPr>
                <w:rFonts w:ascii="Calibri" w:cs="Calibri" w:eastAsia="Calibri" w:hAnsi="Calibri"/>
                <w:color w:val="1A5C38"/>
                <w:sz w:val="18"/>
                <w:szCs w:val="18"/>
              </w:rPr>
              <w:t xml:space="preserve"/>
            </w:r>
          </w:p>
          <w:p>
            <w:pPr>
              <w:spacing w:after="30" w:before="30"/>
            </w:pPr>
            <w:r>
              <w:rPr>
                <w:rFonts w:ascii="Calibri" w:cs="Calibri" w:eastAsia="Calibri" w:hAnsi="Calibri"/>
                <w:color w:val="1A5C38"/>
                <w:sz w:val="18"/>
                <w:szCs w:val="18"/>
              </w:rPr>
              <w:t xml:space="preserve">• Only 25% of IBM's AI initiatives met expected ROI.</w:t>
            </w:r>
          </w:p>
          <w:p>
            <w:pPr>
              <w:spacing w:after="30" w:before="30"/>
            </w:pPr>
            <w:r>
              <w:rPr>
                <w:rFonts w:ascii="Calibri" w:cs="Calibri" w:eastAsia="Calibri" w:hAnsi="Calibri"/>
                <w:color w:val="1A5C38"/>
                <w:sz w:val="18"/>
                <w:szCs w:val="18"/>
              </w:rPr>
              <w:t xml:space="preserve">• Only 16% of IBM's AI initiatives scaled enterprise-wide.</w:t>
            </w:r>
          </w:p>
          <w:p>
            <w:pPr>
              <w:spacing w:after="30" w:before="30"/>
            </w:pPr>
            <w:r>
              <w:rPr>
                <w:rFonts w:ascii="Calibri" w:cs="Calibri" w:eastAsia="Calibri" w:hAnsi="Calibri"/>
                <w:color w:val="1A5C38"/>
                <w:sz w:val="18"/>
                <w:szCs w:val="18"/>
              </w:rPr>
              <w:t xml:space="preserve"/>
            </w:r>
          </w:p>
          <w:p>
            <w:pPr>
              <w:spacing w:after="30" w:before="30"/>
            </w:pPr>
            <w:r>
              <w:rPr>
                <w:rFonts w:ascii="Calibri" w:cs="Calibri" w:eastAsia="Calibri" w:hAnsi="Calibri"/>
                <w:color w:val="1A5C38"/>
                <w:sz w:val="18"/>
                <w:szCs w:val="18"/>
              </w:rPr>
              <w:t xml:space="preserve">These are not failure rates for a naïve organization. IBM has deep AI expertise,</w:t>
            </w:r>
          </w:p>
          <w:p>
            <w:pPr>
              <w:spacing w:after="30" w:before="30"/>
            </w:pPr>
            <w:r>
              <w:rPr>
                <w:rFonts w:ascii="Calibri" w:cs="Calibri" w:eastAsia="Calibri" w:hAnsi="Calibri"/>
                <w:color w:val="1A5C38"/>
                <w:sz w:val="18"/>
                <w:szCs w:val="18"/>
              </w:rPr>
              <w:t xml:space="preserve">purpose-built infrastructure, and a 'Client Zero' internal deployment model.</w:t>
            </w:r>
          </w:p>
          <w:p>
            <w:pPr>
              <w:spacing w:after="30" w:before="30"/>
            </w:pPr>
            <w:r>
              <w:rPr>
                <w:rFonts w:ascii="Calibri" w:cs="Calibri" w:eastAsia="Calibri" w:hAnsi="Calibri"/>
                <w:color w:val="1A5C38"/>
                <w:sz w:val="18"/>
                <w:szCs w:val="18"/>
              </w:rPr>
              <w:t xml:space="preserve">The implication: the base rate of enterprise AI scale success is structurally low,</w:t>
            </w:r>
          </w:p>
          <w:p>
            <w:pPr>
              <w:spacing w:after="30" w:before="30"/>
            </w:pPr>
            <w:r>
              <w:rPr>
                <w:rFonts w:ascii="Calibri" w:cs="Calibri" w:eastAsia="Calibri" w:hAnsi="Calibri"/>
                <w:color w:val="1A5C38"/>
                <w:sz w:val="18"/>
                <w:szCs w:val="18"/>
              </w:rPr>
              <w:t xml:space="preserve">even under favorable organizational conditions.</w:t>
            </w:r>
          </w:p>
        </w:tc>
      </w:tr>
    </w:tbl>
    <w:p/>
    <w:p>
      <w:pPr>
        <w:pStyle w:val="Heading2"/>
        <w:spacing w:after="80" w:before="320"/>
      </w:pPr>
      <w:r>
        <w:rPr>
          <w:rFonts w:ascii="Calibri" w:cs="Calibri" w:eastAsia="Calibri" w:hAnsi="Calibri"/>
          <w:b/>
          <w:bCs/>
          <w:color w:val="1B4F8A"/>
          <w:sz w:val="26"/>
          <w:szCs w:val="26"/>
        </w:rPr>
        <w:t xml:space="preserve">5.2  Scaling Model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900"/>
        <w:gridCol w:w="1900"/>
        <w:gridCol w:w="1500"/>
        <w:gridCol w:w="860"/>
      </w:tblGrid>
      <w:tr>
        <w:tc>
          <w:tcPr>
            <w:tcW w:type="dxa" w:w="14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Scaling Model</w:t>
            </w:r>
          </w:p>
        </w:tc>
        <w:tc>
          <w:tcPr>
            <w:tcW w:type="dxa" w:w="18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Description</w:t>
            </w:r>
          </w:p>
        </w:tc>
        <w:tc>
          <w:tcPr>
            <w:tcW w:type="dxa" w:w="19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Structural Advantage</w:t>
            </w:r>
          </w:p>
        </w:tc>
        <w:tc>
          <w:tcPr>
            <w:tcW w:type="dxa" w:w="19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Structural Risk</w:t>
            </w:r>
          </w:p>
        </w:tc>
        <w:tc>
          <w:tcPr>
            <w:tcW w:type="dxa" w:w="15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Case Example</w:t>
            </w:r>
          </w:p>
        </w:tc>
        <w:tc>
          <w:tcPr>
            <w:tcW w:type="dxa" w:w="8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 Level</w:t>
            </w:r>
          </w:p>
        </w:tc>
      </w:tr>
      <w:tr>
        <w:tc>
          <w:tcPr>
            <w:tcW w:type="dxa" w:w="14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Centralized Intake + Controlled Expansion</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Central demand-capture portal; ideas reviewed before deployment</w:t>
            </w:r>
          </w:p>
        </w:tc>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Governance bottleneck prevents ungoverned proliferation</w:t>
            </w:r>
          </w:p>
        </w:tc>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Slow; may suppress legitimate demand</w:t>
            </w:r>
          </w:p>
        </w:tc>
        <w:tc>
          <w:tcPr>
            <w:tcW w:type="dxa" w:w="15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JPMorgan (intake portal for 1,000+ use cases)</w:t>
            </w:r>
          </w:p>
        </w:tc>
        <w:tc>
          <w:tcPr>
            <w:tcW w:type="dxa" w:w="8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(Tier 3)</w:t>
            </w:r>
          </w:p>
        </w:tc>
      </w:tr>
      <w:tr>
        <w:tc>
          <w:tcPr>
            <w:tcW w:type="dxa" w:w="14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Single Platform, All Users</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One tool deployed firm-wide on unified knowledge base</w:t>
            </w:r>
          </w:p>
        </w:tc>
        <w:tc>
          <w:tcPr>
            <w:tcW w:type="dxa" w:w="1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Consistent quality; single maintenance surface</w:t>
            </w:r>
          </w:p>
        </w:tc>
        <w:tc>
          <w:tcPr>
            <w:tcW w:type="dxa" w:w="1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Single point of quality failure; knowledge base staleness risk</w:t>
            </w:r>
          </w:p>
        </w:tc>
        <w:tc>
          <w:tcPr>
            <w:tcW w:type="dxa" w:w="15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McKinsey Lilli (100k+ docs, Google Cloud)</w:t>
            </w:r>
          </w:p>
        </w:tc>
        <w:tc>
          <w:tcPr>
            <w:tcW w:type="dxa" w:w="8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(Tier 1)</w:t>
            </w:r>
          </w:p>
        </w:tc>
      </w:tr>
      <w:tr>
        <w:tc>
          <w:tcPr>
            <w:tcW w:type="dxa" w:w="14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Federated Per-Department</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Department-owned AI tools; specialized per function</w:t>
            </w:r>
          </w:p>
        </w:tc>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High relevance; departmental accountability</w:t>
            </w:r>
          </w:p>
        </w:tc>
        <w:tc>
          <w:tcPr>
            <w:tcW w:type="dxa" w:w="1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Fragmentation; inconsistent standards; maintenance overhead</w:t>
            </w:r>
          </w:p>
        </w:tc>
        <w:tc>
          <w:tcPr>
            <w:tcW w:type="dxa" w:w="15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Siemens 300+ bots (UNVERIFIED)</w:t>
            </w:r>
          </w:p>
        </w:tc>
        <w:tc>
          <w:tcPr>
            <w:tcW w:type="dxa" w:w="8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UNVERIFIED — do not cite</w:t>
            </w:r>
          </w:p>
        </w:tc>
      </w:tr>
      <w:tr>
        <w:tc>
          <w:tcPr>
            <w:tcW w:type="dxa" w:w="14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Maximum Velocity (No Architecture)</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Fastest possible deployment to full production scope</w:t>
            </w:r>
          </w:p>
        </w:tc>
        <w:tc>
          <w:tcPr>
            <w:tcW w:type="dxa" w:w="1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Speed to operational metrics</w:t>
            </w:r>
          </w:p>
        </w:tc>
        <w:tc>
          <w:tcPr>
            <w:tcW w:type="dxa" w:w="1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Scaling to failure; no failure signal before systemic damage</w:t>
            </w:r>
          </w:p>
        </w:tc>
        <w:tc>
          <w:tcPr>
            <w:tcW w:type="dxa" w:w="15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Klarna (2/3 of all CS in month 1)</w:t>
            </w:r>
          </w:p>
        </w:tc>
        <w:tc>
          <w:tcPr>
            <w:tcW w:type="dxa" w:w="8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(Tier 1)</w:t>
            </w:r>
          </w:p>
        </w:tc>
      </w:tr>
    </w:tbl>
    <w:p/>
    <w:p>
      <w:pPr>
        <w:pStyle w:val="Heading2"/>
        <w:spacing w:after="80" w:before="320"/>
      </w:pPr>
      <w:r>
        <w:rPr>
          <w:rFonts w:ascii="Calibri" w:cs="Calibri" w:eastAsia="Calibri" w:hAnsi="Calibri"/>
          <w:b/>
          <w:bCs/>
          <w:color w:val="1B4F8A"/>
          <w:sz w:val="26"/>
          <w:szCs w:val="26"/>
        </w:rPr>
        <w:t xml:space="preserve">5.3  Scaling Readiness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c>
          <w:tcPr>
            <w:tcW w:type="dxa" w:w="24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Readiness Dimension</w:t>
            </w:r>
          </w:p>
        </w:tc>
        <w:tc>
          <w:tcPr>
            <w:tcW w:type="dxa" w:w="28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Minimum Threshold</w:t>
            </w:r>
          </w:p>
        </w:tc>
        <w:tc>
          <w:tcPr>
            <w:tcW w:type="dxa" w:w="2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Red Flag Signal</w:t>
            </w:r>
          </w:p>
        </w:tc>
        <w:tc>
          <w:tcPr>
            <w:tcW w:type="dxa" w:w="19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 Level</w:t>
            </w:r>
          </w:p>
        </w:tc>
      </w:tr>
      <w:tr>
        <w:tc>
          <w:tcPr>
            <w:tcW w:type="dxa" w:w="24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Pilot Outcome Validation</w:t>
            </w:r>
          </w:p>
        </w:tc>
        <w:tc>
          <w:tcPr>
            <w:tcW w:type="dxa" w:w="2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Pilot ROI measured against defined primary baseline before scale decision</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Scale decision made without verified pilot metrics</w:t>
            </w:r>
          </w:p>
        </w:tc>
        <w:tc>
          <w:tcPr>
            <w:tcW w:type="dxa" w:w="19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24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Infrastructure</w:t>
            </w:r>
          </w:p>
        </w:tc>
        <w:tc>
          <w:tcPr>
            <w:tcW w:type="dxa" w:w="2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path designed, tested, and capacity-confirmed before scale</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escalation path in pilot architecture</w:t>
            </w:r>
          </w:p>
        </w:tc>
        <w:tc>
          <w:tcPr>
            <w:tcW w:type="dxa" w:w="19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 failure)</w:t>
            </w:r>
          </w:p>
        </w:tc>
      </w:tr>
      <w:tr>
        <w:tc>
          <w:tcPr>
            <w:tcW w:type="dxa" w:w="24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KPI Architecture</w:t>
            </w:r>
          </w:p>
        </w:tc>
        <w:tc>
          <w:tcPr>
            <w:tcW w:type="dxa" w:w="2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Multi-layer KPI including satisfaction and business impact metrics live before scale</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Only operational metrics tracked in pilot</w:t>
            </w:r>
          </w:p>
        </w:tc>
        <w:tc>
          <w:tcPr>
            <w:tcW w:type="dxa" w:w="19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 failure)</w:t>
            </w:r>
          </w:p>
        </w:tc>
      </w:tr>
      <w:tr>
        <w:tc>
          <w:tcPr>
            <w:tcW w:type="dxa" w:w="24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Change Management Capacity</w:t>
            </w:r>
          </w:p>
        </w:tc>
        <w:tc>
          <w:tcPr>
            <w:tcW w:type="dxa" w:w="2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Named change lead; training plan; adoption measurement in place</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change management budget or ownership</w:t>
            </w:r>
          </w:p>
        </w:tc>
        <w:tc>
          <w:tcPr>
            <w:tcW w:type="dxa" w:w="19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24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Governance Review Cycle</w:t>
            </w:r>
          </w:p>
        </w:tc>
        <w:tc>
          <w:tcPr>
            <w:tcW w:type="dxa" w:w="2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Review cadence shorter than customer impact cycle for production system</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Quarterly-only review for real-time customer system</w:t>
            </w:r>
          </w:p>
        </w:tc>
        <w:tc>
          <w:tcPr>
            <w:tcW w:type="dxa" w:w="1960"/>
            <w:tcBorders>
              <w:top w:val="single" w:color="D0D9E4" w:sz="1"/>
              <w:left w:val="single" w:color="D0D9E4" w:sz="1"/>
              <w:bottom w:val="single" w:color="D0D9E4" w:sz="1"/>
              <w:right w:val="single" w:color="D0D9E4" w:sz="1"/>
            </w:tcBorders>
            <w:shd w:fill="FFF8D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614A00"/>
                <w:sz w:val="18"/>
                <w:szCs w:val="18"/>
              </w:rPr>
              <w:t xml:space="preserve">INTERPRETATION</w:t>
            </w:r>
          </w:p>
        </w:tc>
      </w:tr>
      <w:tr>
        <w:tc>
          <w:tcPr>
            <w:tcW w:type="dxa" w:w="24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Data Quality &amp; RAG Audit</w:t>
            </w:r>
          </w:p>
        </w:tc>
        <w:tc>
          <w:tcPr>
            <w:tcW w:type="dxa" w:w="2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Knowledge base audited for accuracy, coverage, and staleness</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RAG/data quality baseline established</w:t>
            </w:r>
          </w:p>
        </w:tc>
        <w:tc>
          <w:tcPr>
            <w:tcW w:type="dxa" w:w="19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06</w:t>
            </w:r>
          </w:p>
        </w:tc>
        <w:tc>
          <w:tcPr>
            <w:tcW w:type="dxa" w:w="8640"/>
            <w:tcBorders>
              <w:top w:val="none" w:color="FFFFFF" w:sz="0"/>
              <w:left w:val="none" w:color="FFFFFF" w:sz="0"/>
              <w:bottom w:val="none" w:color="FFFFFF" w:sz="0"/>
              <w:right w:val="none" w:color="FFFFFF" w:sz="0"/>
            </w:tcBorders>
            <w:shd w:fill="1B4F8A" w:val="clear"/>
            <w:tcMar>
              <w:top w:type="dxa" w:w="100"/>
              <w:left w:type="dxa" w:w="200"/>
              <w:bottom w:type="dxa" w:w="100"/>
              <w:right w:type="dxa" w:w="120"/>
            </w:tcMar>
            <w:vAlign w:val="center"/>
          </w:tcPr>
          <w:p>
            <w:r>
              <w:rPr>
                <w:rFonts w:ascii="Calibri" w:cs="Calibri" w:eastAsia="Calibri" w:hAnsi="Calibri"/>
                <w:b/>
                <w:bCs/>
                <w:color w:val="FFFFFF"/>
                <w:sz w:val="26"/>
                <w:szCs w:val="26"/>
              </w:rPr>
              <w:t xml:space="preserve">Governance Maturity Model</w:t>
            </w:r>
          </w:p>
        </w:tc>
      </w:tr>
    </w:tbl>
    <w:p/>
    <w:p>
      <w:pPr>
        <w:spacing w:after="60" w:before="60"/>
      </w:pPr>
      <w:r>
        <w:rPr>
          <w:rFonts w:ascii="Calibri" w:cs="Calibri" w:eastAsia="Calibri" w:hAnsi="Calibri"/>
          <w:b w:val="false"/>
          <w:bCs w:val="false"/>
          <w:color w:val="0D2137"/>
          <w:sz w:val="20"/>
          <w:szCs w:val="20"/>
        </w:rPr>
        <w:t xml:space="preserve">A five-level maturity model for enterprise AI governance, derived from the structural governance patterns observed across the six cases. Maturity levels are defined by what is measured and disclosed, not by what is deployed.</w:t>
      </w:r>
    </w:p>
    <w:p/>
    <w:p>
      <w:pPr>
        <w:pStyle w:val="Heading2"/>
        <w:spacing w:after="80" w:before="320"/>
      </w:pPr>
      <w:r>
        <w:rPr>
          <w:rFonts w:ascii="Calibri" w:cs="Calibri" w:eastAsia="Calibri" w:hAnsi="Calibri"/>
          <w:b/>
          <w:bCs/>
          <w:color w:val="1B4F8A"/>
          <w:sz w:val="26"/>
          <w:szCs w:val="26"/>
        </w:rPr>
        <w:t xml:space="preserve">6.1  Governance Maturity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400"/>
        <w:gridCol w:w="2800"/>
        <w:gridCol w:w="2100"/>
        <w:gridCol w:w="2510"/>
      </w:tblGrid>
      <w:tr>
        <w:tc>
          <w:tcPr>
            <w:tcW w:type="dxa" w:w="55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Level</w:t>
            </w:r>
          </w:p>
        </w:tc>
        <w:tc>
          <w:tcPr>
            <w:tcW w:type="dxa" w:w="14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Label</w:t>
            </w:r>
          </w:p>
        </w:tc>
        <w:tc>
          <w:tcPr>
            <w:tcW w:type="dxa" w:w="28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Governance Characteristics</w:t>
            </w:r>
          </w:p>
        </w:tc>
        <w:tc>
          <w:tcPr>
            <w:tcW w:type="dxa" w:w="21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Disclosure Posture</w:t>
            </w:r>
          </w:p>
        </w:tc>
        <w:tc>
          <w:tcPr>
            <w:tcW w:type="dxa" w:w="251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Case Alignment</w:t>
            </w:r>
          </w:p>
        </w:tc>
      </w:tr>
      <w:tr>
        <w:tc>
          <w:tcPr>
            <w:tcW w:type="dxa" w:w="55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L0</w:t>
            </w:r>
          </w:p>
        </w:tc>
        <w:tc>
          <w:tcPr>
            <w:tcW w:type="dxa" w:w="14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Absent</w:t>
            </w:r>
          </w:p>
        </w:tc>
        <w:tc>
          <w:tcPr>
            <w:tcW w:type="dxa" w:w="2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KPI framework. No escalation design. Speed as sole optimization criterion.</w:t>
            </w:r>
          </w:p>
        </w:tc>
        <w:tc>
          <w:tcPr>
            <w:tcW w:type="dxa" w:w="21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outcome disclosure; activity metrics only</w:t>
            </w:r>
          </w:p>
        </w:tc>
        <w:tc>
          <w:tcPr>
            <w:tcW w:type="dxa" w:w="251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Klarna (pre-reversal): VERIFIED</w:t>
            </w:r>
          </w:p>
        </w:tc>
      </w:tr>
      <w:tr>
        <w:tc>
          <w:tcPr>
            <w:tcW w:type="dxa" w:w="55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L1</w:t>
            </w:r>
          </w:p>
        </w:tc>
        <w:tc>
          <w:tcPr>
            <w:tcW w:type="dxa" w:w="14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Reactive</w:t>
            </w:r>
          </w:p>
        </w:tc>
        <w:tc>
          <w:tcPr>
            <w:tcW w:type="dxa" w:w="2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Single operational metric. Governance review triggered by external crisis, not internal signal.</w:t>
            </w:r>
          </w:p>
        </w:tc>
        <w:tc>
          <w:tcPr>
            <w:tcW w:type="dxa" w:w="21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Proxy metric disclosure (speed, containment). No satisfaction data.</w:t>
            </w:r>
          </w:p>
        </w:tc>
        <w:tc>
          <w:tcPr>
            <w:tcW w:type="dxa" w:w="251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Klarna (post-recognition): VERIFIED</w:t>
            </w:r>
          </w:p>
        </w:tc>
      </w:tr>
      <w:tr>
        <w:tc>
          <w:tcPr>
            <w:tcW w:type="dxa" w:w="55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L2</w:t>
            </w:r>
          </w:p>
        </w:tc>
        <w:tc>
          <w:tcPr>
            <w:tcW w:type="dxa" w:w="14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Defined</w:t>
            </w:r>
          </w:p>
        </w:tc>
        <w:tc>
          <w:tcPr>
            <w:tcW w:type="dxa" w:w="2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Multi-metric KPI framework including operational + satisfaction metrics. Escalation path exists.</w:t>
            </w:r>
          </w:p>
        </w:tc>
        <w:tc>
          <w:tcPr>
            <w:tcW w:type="dxa" w:w="21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Internal reporting on defined metrics. Limited external disclosure.</w:t>
            </w:r>
          </w:p>
        </w:tc>
        <w:tc>
          <w:tcPr>
            <w:tcW w:type="dxa" w:w="251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IBM AskHR (containment + cost data): VERIFIED</w:t>
            </w:r>
          </w:p>
        </w:tc>
      </w:tr>
      <w:tr>
        <w:tc>
          <w:tcPr>
            <w:tcW w:type="dxa" w:w="55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L3</w:t>
            </w:r>
          </w:p>
        </w:tc>
        <w:tc>
          <w:tcPr>
            <w:tcW w:type="dxa" w:w="14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Managed</w:t>
            </w:r>
          </w:p>
        </w:tc>
        <w:tc>
          <w:tcPr>
            <w:tcW w:type="dxa" w:w="2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SLA defined and monitored. Pilot data validated before scale. Change management structured.</w:t>
            </w:r>
          </w:p>
        </w:tc>
        <w:tc>
          <w:tcPr>
            <w:tcW w:type="dxa" w:w="21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External disclosure of outcome metrics with source attribution.</w:t>
            </w:r>
          </w:p>
        </w:tc>
        <w:tc>
          <w:tcPr>
            <w:tcW w:type="dxa" w:w="251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Morgan Stanley / McKinsey: STRATEGIC INFERENCE</w:t>
            </w:r>
          </w:p>
        </w:tc>
      </w:tr>
      <w:tr>
        <w:tc>
          <w:tcPr>
            <w:tcW w:type="dxa" w:w="55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L4</w:t>
            </w:r>
          </w:p>
        </w:tc>
        <w:tc>
          <w:tcPr>
            <w:tcW w:type="dxa" w:w="14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Optimized</w:t>
            </w:r>
          </w:p>
        </w:tc>
        <w:tc>
          <w:tcPr>
            <w:tcW w:type="dxa" w:w="2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Continuous feedback loop from escalated cases to model improvement. Governance review cycle shorter than impact cycle. Audited ROI disclosure.</w:t>
            </w:r>
          </w:p>
        </w:tc>
        <w:tc>
          <w:tcPr>
            <w:tcW w:type="dxa" w:w="21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Audited primary ROI published. Failure rates disclosed alongside success metrics.</w:t>
            </w:r>
          </w:p>
        </w:tc>
        <w:tc>
          <w:tcPr>
            <w:tcW w:type="dxa" w:w="251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case in dataset reaches L4. IBM's partial disclosure (25% ROI failure rate) is the closest analog.</w:t>
            </w:r>
          </w:p>
        </w:tc>
      </w:tr>
    </w:tbl>
    <w:p/>
    <w:p>
      <w:pPr>
        <w:pStyle w:val="Heading2"/>
        <w:spacing w:after="80" w:before="320"/>
      </w:pPr>
      <w:r>
        <w:rPr>
          <w:rFonts w:ascii="Calibri" w:cs="Calibri" w:eastAsia="Calibri" w:hAnsi="Calibri"/>
          <w:b/>
          <w:bCs/>
          <w:color w:val="1B4F8A"/>
          <w:sz w:val="26"/>
          <w:szCs w:val="26"/>
        </w:rPr>
        <w:t xml:space="preserve">6.2  Governance Gap — Industry-Level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FDECEA" w:val="clear"/>
            <w:tcMar>
              <w:top w:type="dxa" w:w="120"/>
              <w:left w:type="dxa" w:w="180"/>
              <w:bottom w:type="dxa" w:w="120"/>
              <w:right w:type="dxa" w:w="180"/>
            </w:tcMar>
          </w:tcPr>
          <w:p>
            <w:pPr>
              <w:spacing w:after="60" w:before="40"/>
            </w:pPr>
            <w:r>
              <w:rPr>
                <w:rFonts w:ascii="Calibri" w:cs="Calibri" w:eastAsia="Calibri" w:hAnsi="Calibri"/>
                <w:b/>
                <w:bCs/>
                <w:color w:val="8B1A1A"/>
                <w:sz w:val="19"/>
                <w:szCs w:val="19"/>
              </w:rPr>
              <w:t xml:space="preserve">INDUSTRY GOVERNANCE DEFICIT</w:t>
            </w:r>
          </w:p>
          <w:p>
            <w:pPr>
              <w:spacing w:after="30" w:before="30"/>
            </w:pPr>
            <w:r>
              <w:rPr>
                <w:rFonts w:ascii="Calibri" w:cs="Calibri" w:eastAsia="Calibri" w:hAnsi="Calibri"/>
                <w:color w:val="8B1A1A"/>
                <w:sz w:val="18"/>
                <w:szCs w:val="18"/>
              </w:rPr>
              <w:t xml:space="preserve">VERIFIED finding (cross-case audit):</w:t>
            </w:r>
          </w:p>
          <w:p>
            <w:pPr>
              <w:spacing w:after="30" w:before="30"/>
            </w:pPr>
            <w:r>
              <w:rPr>
                <w:rFonts w:ascii="Calibri" w:cs="Calibri" w:eastAsia="Calibri" w:hAnsi="Calibri"/>
                <w:color w:val="8B1A1A"/>
                <w:sz w:val="18"/>
                <w:szCs w:val="18"/>
              </w:rPr>
              <w:t xml:space="preserve"/>
            </w:r>
          </w:p>
          <w:p>
            <w:pPr>
              <w:spacing w:after="30" w:before="30"/>
            </w:pPr>
            <w:r>
              <w:rPr>
                <w:rFonts w:ascii="Calibri" w:cs="Calibri" w:eastAsia="Calibri" w:hAnsi="Calibri"/>
                <w:color w:val="8B1A1A"/>
                <w:sz w:val="18"/>
                <w:szCs w:val="18"/>
              </w:rPr>
              <w:t xml:space="preserve">No company in this dataset published an audited governance framework, ROI disclosure,</w:t>
            </w:r>
          </w:p>
          <w:p>
            <w:pPr>
              <w:spacing w:after="30" w:before="30"/>
            </w:pPr>
            <w:r>
              <w:rPr>
                <w:rFonts w:ascii="Calibri" w:cs="Calibri" w:eastAsia="Calibri" w:hAnsi="Calibri"/>
                <w:color w:val="8B1A1A"/>
                <w:sz w:val="18"/>
                <w:szCs w:val="18"/>
              </w:rPr>
              <w:t xml:space="preserve">or deployment accountability structure in primary documentation.</w:t>
            </w:r>
          </w:p>
          <w:p>
            <w:pPr>
              <w:spacing w:after="30" w:before="30"/>
            </w:pPr>
            <w:r>
              <w:rPr>
                <w:rFonts w:ascii="Calibri" w:cs="Calibri" w:eastAsia="Calibri" w:hAnsi="Calibri"/>
                <w:color w:val="8B1A1A"/>
                <w:sz w:val="18"/>
                <w:szCs w:val="18"/>
              </w:rPr>
              <w:t xml:space="preserve"/>
            </w:r>
          </w:p>
          <w:p>
            <w:pPr>
              <w:spacing w:after="30" w:before="30"/>
            </w:pPr>
            <w:r>
              <w:rPr>
                <w:rFonts w:ascii="Calibri" w:cs="Calibri" w:eastAsia="Calibri" w:hAnsi="Calibri"/>
                <w:color w:val="8B1A1A"/>
                <w:sz w:val="18"/>
                <w:szCs w:val="18"/>
              </w:rPr>
              <w:t xml:space="preserve">The industry operates at L1–L2 governance maturity for publicly disclosed AI programs.</w:t>
            </w:r>
          </w:p>
          <w:p>
            <w:pPr>
              <w:spacing w:after="30" w:before="30"/>
            </w:pPr>
            <w:r>
              <w:rPr>
                <w:rFonts w:ascii="Calibri" w:cs="Calibri" w:eastAsia="Calibri" w:hAnsi="Calibri"/>
                <w:color w:val="8B1A1A"/>
                <w:sz w:val="18"/>
                <w:szCs w:val="18"/>
              </w:rPr>
              <w:t xml:space="preserve">IBM's disclosure of its own 25% ROI success rate is anomalous — and it confirms</w:t>
            </w:r>
          </w:p>
          <w:p>
            <w:pPr>
              <w:spacing w:after="30" w:before="30"/>
            </w:pPr>
            <w:r>
              <w:rPr>
                <w:rFonts w:ascii="Calibri" w:cs="Calibri" w:eastAsia="Calibri" w:hAnsi="Calibri"/>
                <w:color w:val="8B1A1A"/>
                <w:sz w:val="18"/>
                <w:szCs w:val="18"/>
              </w:rPr>
              <w:t xml:space="preserve">that even the most governance-aware organizations are failing the majority of their initiatives.</w:t>
            </w:r>
          </w:p>
          <w:p>
            <w:pPr>
              <w:spacing w:after="30" w:before="30"/>
            </w:pPr>
            <w:r>
              <w:rPr>
                <w:rFonts w:ascii="Calibri" w:cs="Calibri" w:eastAsia="Calibri" w:hAnsi="Calibri"/>
                <w:color w:val="8B1A1A"/>
                <w:sz w:val="18"/>
                <w:szCs w:val="18"/>
              </w:rPr>
              <w:t xml:space="preserve"/>
            </w:r>
          </w:p>
          <w:p>
            <w:pPr>
              <w:spacing w:after="30" w:before="30"/>
            </w:pPr>
            <w:r>
              <w:rPr>
                <w:rFonts w:ascii="Calibri" w:cs="Calibri" w:eastAsia="Calibri" w:hAnsi="Calibri"/>
                <w:color w:val="8B1A1A"/>
                <w:sz w:val="18"/>
                <w:szCs w:val="18"/>
              </w:rPr>
              <w:t xml:space="preserve">L4 governance does not exist in the public record for any case in this dataset.</w:t>
            </w:r>
          </w:p>
        </w:tc>
      </w:tr>
    </w:tbl>
    <w:p/>
    <w:p>
      <w:pPr>
        <w:pStyle w:val="Heading2"/>
        <w:spacing w:after="80" w:before="320"/>
      </w:pPr>
      <w:r>
        <w:rPr>
          <w:rFonts w:ascii="Calibri" w:cs="Calibri" w:eastAsia="Calibri" w:hAnsi="Calibri"/>
          <w:b/>
          <w:bCs/>
          <w:color w:val="1B4F8A"/>
          <w:sz w:val="26"/>
          <w:szCs w:val="26"/>
        </w:rPr>
        <w:t xml:space="preserve">6.3  Governance Maturity Assessment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Governance Dimension</w:t>
            </w:r>
          </w:p>
        </w:tc>
        <w:tc>
          <w:tcPr>
            <w:tcW w:type="dxa" w:w="2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L0 Signal</w:t>
            </w:r>
          </w:p>
        </w:tc>
        <w:tc>
          <w:tcPr>
            <w:tcW w:type="dxa" w:w="25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L2 Threshold</w:t>
            </w:r>
          </w:p>
        </w:tc>
        <w:tc>
          <w:tcPr>
            <w:tcW w:type="dxa" w:w="24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L4 Standard</w:t>
            </w:r>
          </w:p>
        </w:tc>
      </w:tr>
      <w:tr>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KPI Framework</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Single operational metric only</w:t>
            </w:r>
          </w:p>
        </w:tc>
        <w:tc>
          <w:tcPr>
            <w:tcW w:type="dxa" w:w="25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Operational + satisfaction metrics tracked simultaneously</w:t>
            </w:r>
          </w:p>
        </w:tc>
        <w:tc>
          <w:tcPr>
            <w:tcW w:type="dxa" w:w="24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Full KPI stack (operational, satisfaction, business impact, adoption) — audited</w:t>
            </w:r>
          </w:p>
        </w:tc>
      </w:tr>
      <w:tr>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Design</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escalation path</w:t>
            </w:r>
          </w:p>
        </w:tc>
        <w:tc>
          <w:tcPr>
            <w:tcW w:type="dxa" w:w="25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path with defined SLA</w:t>
            </w:r>
          </w:p>
        </w:tc>
        <w:tc>
          <w:tcPr>
            <w:tcW w:type="dxa" w:w="24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data feeds model improvement quarterly</w:t>
            </w:r>
          </w:p>
        </w:tc>
      </w:tr>
      <w:tr>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Pilot Discipline</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pilot; direct full deployment</w:t>
            </w:r>
          </w:p>
        </w:tc>
        <w:tc>
          <w:tcPr>
            <w:tcW w:type="dxa" w:w="25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Pilot with defined duration and user scope</w:t>
            </w:r>
          </w:p>
        </w:tc>
        <w:tc>
          <w:tcPr>
            <w:tcW w:type="dxa" w:w="24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Pilot ROI validated against primary baseline before scale decision</w:t>
            </w:r>
          </w:p>
        </w:tc>
      </w:tr>
      <w:tr>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Disclosure Posture</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Activity metrics only; no outcome data</w:t>
            </w:r>
          </w:p>
        </w:tc>
        <w:tc>
          <w:tcPr>
            <w:tcW w:type="dxa" w:w="25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Internal outcome reporting</w:t>
            </w:r>
          </w:p>
        </w:tc>
        <w:tc>
          <w:tcPr>
            <w:tcW w:type="dxa" w:w="24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Audited primary ROI published with failure rates alongside successes</w:t>
            </w:r>
          </w:p>
        </w:tc>
      </w:tr>
      <w:tr>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Review Cadence</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Crisis-triggered review</w:t>
            </w:r>
          </w:p>
        </w:tc>
        <w:tc>
          <w:tcPr>
            <w:tcW w:type="dxa" w:w="25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Periodic review (quarterly)</w:t>
            </w:r>
          </w:p>
        </w:tc>
        <w:tc>
          <w:tcPr>
            <w:tcW w:type="dxa" w:w="24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Continuous monitoring; review cycle &lt; customer impact cycle</w:t>
            </w:r>
          </w:p>
        </w:tc>
      </w:tr>
      <w:tr>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Failure Accounting</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failure tracking</w:t>
            </w:r>
          </w:p>
        </w:tc>
        <w:tc>
          <w:tcPr>
            <w:tcW w:type="dxa" w:w="25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Internal failure logging</w:t>
            </w:r>
          </w:p>
        </w:tc>
        <w:tc>
          <w:tcPr>
            <w:tcW w:type="dxa" w:w="24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Failure rates publicly disclosed (IBM is closest analog)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07</w:t>
            </w:r>
          </w:p>
        </w:tc>
        <w:tc>
          <w:tcPr>
            <w:tcW w:type="dxa" w:w="8640"/>
            <w:tcBorders>
              <w:top w:val="none" w:color="FFFFFF" w:sz="0"/>
              <w:left w:val="none" w:color="FFFFFF" w:sz="0"/>
              <w:bottom w:val="none" w:color="FFFFFF" w:sz="0"/>
              <w:right w:val="none" w:color="FFFFFF" w:sz="0"/>
            </w:tcBorders>
            <w:shd w:fill="1B4F8A" w:val="clear"/>
            <w:tcMar>
              <w:top w:type="dxa" w:w="100"/>
              <w:left w:type="dxa" w:w="200"/>
              <w:bottom w:type="dxa" w:w="100"/>
              <w:right w:type="dxa" w:w="120"/>
            </w:tcMar>
            <w:vAlign w:val="center"/>
          </w:tcPr>
          <w:p>
            <w:r>
              <w:rPr>
                <w:rFonts w:ascii="Calibri" w:cs="Calibri" w:eastAsia="Calibri" w:hAnsi="Calibri"/>
                <w:b/>
                <w:bCs/>
                <w:color w:val="FFFFFF"/>
                <w:sz w:val="26"/>
                <w:szCs w:val="26"/>
              </w:rPr>
              <w:t xml:space="preserve">Enterprise AI Warning Signal System</w:t>
            </w:r>
          </w:p>
        </w:tc>
      </w:tr>
    </w:tbl>
    <w:p/>
    <w:p>
      <w:pPr>
        <w:spacing w:after="60" w:before="60"/>
      </w:pPr>
      <w:r>
        <w:rPr>
          <w:rFonts w:ascii="Calibri" w:cs="Calibri" w:eastAsia="Calibri" w:hAnsi="Calibri"/>
          <w:b w:val="false"/>
          <w:bCs w:val="false"/>
          <w:color w:val="0D2137"/>
          <w:sz w:val="20"/>
          <w:szCs w:val="20"/>
        </w:rPr>
        <w:t xml:space="preserve">A tiered early warning system for enterprise AI deployments. Signals are classified by detection window (how early they can be observed before damage occurs) and remediation urgency.</w:t>
      </w:r>
    </w:p>
    <w:p/>
    <w:p>
      <w:pPr>
        <w:pStyle w:val="Heading2"/>
        <w:spacing w:after="80" w:before="320"/>
      </w:pPr>
      <w:r>
        <w:rPr>
          <w:rFonts w:ascii="Calibri" w:cs="Calibri" w:eastAsia="Calibri" w:hAnsi="Calibri"/>
          <w:b/>
          <w:bCs/>
          <w:color w:val="1B4F8A"/>
          <w:sz w:val="26"/>
          <w:szCs w:val="26"/>
        </w:rPr>
        <w:t xml:space="preserve">7.1  Pre-Deployment Warning Signals (detectable in design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900"/>
        <w:gridCol w:w="1260"/>
      </w:tblGrid>
      <w:tr>
        <w:tc>
          <w:tcPr>
            <w:tcW w:type="dxa" w:w="2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Warning Signal</w:t>
            </w:r>
          </w:p>
        </w:tc>
        <w:tc>
          <w:tcPr>
            <w:tcW w:type="dxa" w:w="2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Detection Method</w:t>
            </w:r>
          </w:p>
        </w:tc>
        <w:tc>
          <w:tcPr>
            <w:tcW w:type="dxa" w:w="18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Failure Type Predicted</w:t>
            </w:r>
          </w:p>
        </w:tc>
        <w:tc>
          <w:tcPr>
            <w:tcW w:type="dxa" w:w="9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Urgency</w:t>
            </w:r>
          </w:p>
        </w:tc>
        <w:tc>
          <w:tcPr>
            <w:tcW w:type="dxa" w:w="12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 Level</w:t>
            </w:r>
          </w:p>
        </w:tc>
      </w:tr>
      <w:tr>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Single metric in KPI framework</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Governance review: count distinct metric layers in success definition</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KPI Mismatch → customer damage</w:t>
            </w:r>
          </w:p>
        </w:tc>
        <w:tc>
          <w:tcPr>
            <w:tcW w:type="dxa" w:w="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STOP</w:t>
            </w:r>
          </w:p>
        </w:tc>
        <w:tc>
          <w:tcPr>
            <w:tcW w:type="dxa" w:w="12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w:t>
            </w:r>
          </w:p>
        </w:tc>
      </w:tr>
      <w:tr>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escalation path in architecture doc</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Architecture review: escalation SLA absent or undefined</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Absence → edge-case accumulation</w:t>
            </w:r>
          </w:p>
        </w:tc>
        <w:tc>
          <w:tcPr>
            <w:tcW w:type="dxa" w:w="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STOP</w:t>
            </w:r>
          </w:p>
        </w:tc>
        <w:tc>
          <w:tcPr>
            <w:tcW w:type="dxa" w:w="12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w:t>
            </w:r>
          </w:p>
        </w:tc>
      </w:tr>
      <w:tr>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100% automation as success criterion</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Scope document: 'full replacement' language</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Velocity-Without-Architecture failure</w:t>
            </w:r>
          </w:p>
        </w:tc>
        <w:tc>
          <w:tcPr>
            <w:tcW w:type="dxa" w:w="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STOP</w:t>
            </w:r>
          </w:p>
        </w:tc>
        <w:tc>
          <w:tcPr>
            <w:tcW w:type="dxa" w:w="12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w:t>
            </w:r>
          </w:p>
        </w:tc>
      </w:tr>
      <w:tr>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primary baseline for ROI target</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Business case: ROI figures unattributable to primary source</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ROI Base Rate Failure → fabricated certainty</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12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(audit finding)</w:t>
            </w:r>
          </w:p>
        </w:tc>
      </w:tr>
      <w:tr>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named change management lead</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Project plan: change management ownership absent</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Scale failure due to behavioral non-adoption</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12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satisfaction measurement plan</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Measurement plan: only operational metrics defined</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KPI Mismatch → blind to customer outcome</w:t>
            </w:r>
          </w:p>
        </w:tc>
        <w:tc>
          <w:tcPr>
            <w:tcW w:type="dxa" w:w="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STOP</w:t>
            </w:r>
          </w:p>
        </w:tc>
        <w:tc>
          <w:tcPr>
            <w:tcW w:type="dxa" w:w="12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w:t>
            </w:r>
          </w:p>
        </w:tc>
      </w:tr>
    </w:tbl>
    <w:p/>
    <w:p>
      <w:pPr>
        <w:pStyle w:val="Heading2"/>
        <w:spacing w:after="80" w:before="320"/>
      </w:pPr>
      <w:r>
        <w:rPr>
          <w:rFonts w:ascii="Calibri" w:cs="Calibri" w:eastAsia="Calibri" w:hAnsi="Calibri"/>
          <w:b/>
          <w:bCs/>
          <w:color w:val="1B4F8A"/>
          <w:sz w:val="26"/>
          <w:szCs w:val="26"/>
        </w:rPr>
        <w:t xml:space="preserve">7.2  Pilot-Phase Warning Signals (detectable during controlled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900"/>
        <w:gridCol w:w="1260"/>
      </w:tblGrid>
      <w:tr>
        <w:tc>
          <w:tcPr>
            <w:tcW w:type="dxa" w:w="2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Warning Signal</w:t>
            </w:r>
          </w:p>
        </w:tc>
        <w:tc>
          <w:tcPr>
            <w:tcW w:type="dxa" w:w="2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Detection Method</w:t>
            </w:r>
          </w:p>
        </w:tc>
        <w:tc>
          <w:tcPr>
            <w:tcW w:type="dxa" w:w="18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Failure Type Predicted</w:t>
            </w:r>
          </w:p>
        </w:tc>
        <w:tc>
          <w:tcPr>
            <w:tcW w:type="dxa" w:w="9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Urgency</w:t>
            </w:r>
          </w:p>
        </w:tc>
        <w:tc>
          <w:tcPr>
            <w:tcW w:type="dxa" w:w="12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 Level</w:t>
            </w:r>
          </w:p>
        </w:tc>
      </w:tr>
      <w:tr>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Operational metrics improving; satisfaction flat or declining</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Weekly dual-metric review: compare speed/throughput trend vs. satisfaction trend</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KPI Mismatch (Klarna pattern repeating)</w:t>
            </w:r>
          </w:p>
        </w:tc>
        <w:tc>
          <w:tcPr>
            <w:tcW w:type="dxa" w:w="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STOP</w:t>
            </w:r>
          </w:p>
        </w:tc>
        <w:tc>
          <w:tcPr>
            <w:tcW w:type="dxa" w:w="12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w:t>
            </w:r>
          </w:p>
        </w:tc>
      </w:tr>
      <w:tr>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rate = 0%</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log: zero cases routed to human agents</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path not functioning; edge cases silently mishandled</w:t>
            </w:r>
          </w:p>
        </w:tc>
        <w:tc>
          <w:tcPr>
            <w:tcW w:type="dxa" w:w="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STOP</w:t>
            </w:r>
          </w:p>
        </w:tc>
        <w:tc>
          <w:tcPr>
            <w:tcW w:type="dxa" w:w="12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 from Klarna</w:t>
            </w:r>
          </w:p>
        </w:tc>
      </w:tr>
      <w:tr>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rate &gt; 15%</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Escalation log: high human overflow volume</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Model scope mismatched to use case complexity</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12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Adoption claimed via throughput, not per-user data</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Metric audit: adoption figure = system volume ÷ total volume, not user cohort data</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Adoption Metric Inflation → false confidence</w:t>
            </w:r>
          </w:p>
        </w:tc>
        <w:tc>
          <w:tcPr>
            <w:tcW w:type="dxa" w:w="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MEDIUM</w:t>
            </w:r>
          </w:p>
        </w:tc>
        <w:tc>
          <w:tcPr>
            <w:tcW w:type="dxa" w:w="12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primary ROI data generated in pilot</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Business case review: pilot outcome not traceable to audited baseline</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Evidence Opacity → scale decision without evidence</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12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(cross-case finding)</w:t>
            </w:r>
          </w:p>
        </w:tc>
      </w:tr>
    </w:tbl>
    <w:p/>
    <w:p>
      <w:pPr>
        <w:pStyle w:val="Heading2"/>
        <w:spacing w:after="80" w:before="320"/>
      </w:pPr>
      <w:r>
        <w:rPr>
          <w:rFonts w:ascii="Calibri" w:cs="Calibri" w:eastAsia="Calibri" w:hAnsi="Calibri"/>
          <w:b/>
          <w:bCs/>
          <w:color w:val="1B4F8A"/>
          <w:sz w:val="26"/>
          <w:szCs w:val="26"/>
        </w:rPr>
        <w:t xml:space="preserve">7.3  Scale-Phase Warning Signals (detectable during enterprise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900"/>
        <w:gridCol w:w="1260"/>
      </w:tblGrid>
      <w:tr>
        <w:tc>
          <w:tcPr>
            <w:tcW w:type="dxa" w:w="2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Warning Signal</w:t>
            </w:r>
          </w:p>
        </w:tc>
        <w:tc>
          <w:tcPr>
            <w:tcW w:type="dxa" w:w="2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Detection Method</w:t>
            </w:r>
          </w:p>
        </w:tc>
        <w:tc>
          <w:tcPr>
            <w:tcW w:type="dxa" w:w="18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Failure Type Predicted</w:t>
            </w:r>
          </w:p>
        </w:tc>
        <w:tc>
          <w:tcPr>
            <w:tcW w:type="dxa" w:w="9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Urgency</w:t>
            </w:r>
          </w:p>
        </w:tc>
        <w:tc>
          <w:tcPr>
            <w:tcW w:type="dxa" w:w="12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 Level</w:t>
            </w:r>
          </w:p>
        </w:tc>
      </w:tr>
      <w:tr>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Satisfaction metrics diverging from operational metrics at scale</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Cohort comparison: pilot satisfaction vs. production population satisfaction</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KPI Mismatch scaling — damage expanding faster than detection</w:t>
            </w:r>
          </w:p>
        </w:tc>
        <w:tc>
          <w:tcPr>
            <w:tcW w:type="dxa" w:w="9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STOP</w:t>
            </w:r>
          </w:p>
        </w:tc>
        <w:tc>
          <w:tcPr>
            <w:tcW w:type="dxa" w:w="12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 analog)</w:t>
            </w:r>
          </w:p>
        </w:tc>
      </w:tr>
      <w:tr>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Scale velocity faster than governance review cycle</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Timeline audit: deployment pace vs. review cadence</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Governance Review Lag — damage accumulates before detection</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1260"/>
            <w:tcBorders>
              <w:top w:val="single" w:color="D0D9E4" w:sz="1"/>
              <w:left w:val="single" w:color="D0D9E4" w:sz="1"/>
              <w:bottom w:val="single" w:color="D0D9E4" w:sz="1"/>
              <w:right w:val="single" w:color="D0D9E4" w:sz="1"/>
            </w:tcBorders>
            <w:shd w:fill="FFF8D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614A00"/>
                <w:sz w:val="18"/>
                <w:szCs w:val="18"/>
              </w:rPr>
              <w:t xml:space="preserve">INTERPRETATION</w:t>
            </w:r>
          </w:p>
        </w:tc>
      </w:tr>
      <w:tr>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ROI claims cite analyst estimates, not primary data</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Source audit of internal business case</w:t>
            </w:r>
          </w:p>
        </w:tc>
        <w:tc>
          <w:tcPr>
            <w:tcW w:type="dxa" w:w="18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Evidence Opacity — investment decisions on fabricated inputs</w:t>
            </w:r>
          </w:p>
        </w:tc>
        <w:tc>
          <w:tcPr>
            <w:tcW w:type="dxa" w:w="900"/>
            <w:tcBorders>
              <w:top w:val="single" w:color="D0D9E4" w:sz="1"/>
              <w:left w:val="single" w:color="D0D9E4" w:sz="1"/>
              <w:bottom w:val="single" w:color="D0D9E4" w:sz="1"/>
              <w:right w:val="single" w:color="D0D9E4" w:sz="1"/>
            </w:tcBorders>
            <w:shd w:fill="FDECEA"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8B1A1A"/>
                <w:sz w:val="18"/>
                <w:szCs w:val="18"/>
              </w:rPr>
              <w:t xml:space="preserve">HIGH</w:t>
            </w:r>
          </w:p>
        </w:tc>
        <w:tc>
          <w:tcPr>
            <w:tcW w:type="dxa" w:w="12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(audit finding)</w:t>
            </w:r>
          </w:p>
        </w:tc>
      </w:tr>
      <w:tr>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department-level ownership of AI tools</w:t>
            </w:r>
          </w:p>
        </w:tc>
        <w:tc>
          <w:tcPr>
            <w:tcW w:type="dxa" w:w="2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Accountability map: tool owner undefined per deployment</w:t>
            </w:r>
          </w:p>
        </w:tc>
        <w:tc>
          <w:tcPr>
            <w:tcW w:type="dxa" w:w="18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Scale failure — orphaned tools degrade without maintenance</w:t>
            </w:r>
          </w:p>
        </w:tc>
        <w:tc>
          <w:tcPr>
            <w:tcW w:type="dxa" w:w="9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MEDIUM</w:t>
            </w:r>
          </w:p>
        </w:tc>
        <w:tc>
          <w:tcPr>
            <w:tcW w:type="dxa" w:w="12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bl>
    <w:p/>
    <w:p>
      <w:pPr>
        <w:pStyle w:val="Heading2"/>
        <w:spacing w:after="80" w:before="320"/>
      </w:pPr>
      <w:r>
        <w:rPr>
          <w:rFonts w:ascii="Calibri" w:cs="Calibri" w:eastAsia="Calibri" w:hAnsi="Calibri"/>
          <w:b/>
          <w:bCs/>
          <w:color w:val="1B4F8A"/>
          <w:sz w:val="26"/>
          <w:szCs w:val="26"/>
        </w:rPr>
        <w:t xml:space="preserve">7.4  Warning Signal Response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2560"/>
      </w:tblGrid>
      <w:tr>
        <w:tc>
          <w:tcPr>
            <w:tcW w:type="dxa" w:w="1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Urgency Level</w:t>
            </w:r>
          </w:p>
        </w:tc>
        <w:tc>
          <w:tcPr>
            <w:tcW w:type="dxa" w:w="26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Definition</w:t>
            </w:r>
          </w:p>
        </w:tc>
        <w:tc>
          <w:tcPr>
            <w:tcW w:type="dxa" w:w="30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Required Action</w:t>
            </w:r>
          </w:p>
        </w:tc>
        <w:tc>
          <w:tcPr>
            <w:tcW w:type="dxa" w:w="25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Escalation to</w:t>
            </w:r>
          </w:p>
        </w:tc>
      </w:tr>
      <w:tr>
        <w:tc>
          <w:tcPr>
            <w:tcW w:type="dxa" w:w="1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STOP</w:t>
            </w:r>
          </w:p>
        </w:tc>
        <w:tc>
          <w:tcPr>
            <w:tcW w:type="dxa" w:w="2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Structural failure guaranteed if deployment continues as designed</w:t>
            </w:r>
          </w:p>
        </w:tc>
        <w:tc>
          <w:tcPr>
            <w:tcW w:type="dxa" w:w="3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Halt deployment. Redesign the failing dimension before resuming.</w:t>
            </w:r>
          </w:p>
        </w:tc>
        <w:tc>
          <w:tcPr>
            <w:tcW w:type="dxa" w:w="2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CTO / CHRO / Executive Sponsor</w:t>
            </w:r>
          </w:p>
        </w:tc>
      </w:tr>
      <w:tr>
        <w:tc>
          <w:tcPr>
            <w:tcW w:type="dxa" w:w="1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HIGH</w:t>
            </w:r>
          </w:p>
        </w:tc>
        <w:tc>
          <w:tcPr>
            <w:tcW w:type="dxa" w:w="2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Failure probability elevated. Damage may be reversible if caught in current phase.</w:t>
            </w:r>
          </w:p>
        </w:tc>
        <w:tc>
          <w:tcPr>
            <w:tcW w:type="dxa" w:w="30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Remediate within current phase. Do not advance to next phase without resolution.</w:t>
            </w:r>
          </w:p>
        </w:tc>
        <w:tc>
          <w:tcPr>
            <w:tcW w:type="dxa" w:w="25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Program Lead + Executive Sponsor</w:t>
            </w:r>
          </w:p>
        </w:tc>
      </w:tr>
      <w:tr>
        <w:tc>
          <w:tcPr>
            <w:tcW w:type="dxa" w:w="1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MEDIUM</w:t>
            </w:r>
          </w:p>
        </w:tc>
        <w:tc>
          <w:tcPr>
            <w:tcW w:type="dxa" w:w="2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Leading indicator of future failure. No immediate damage but trajectory is negative.</w:t>
            </w:r>
          </w:p>
        </w:tc>
        <w:tc>
          <w:tcPr>
            <w:tcW w:type="dxa" w:w="3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Log, monitor, and schedule remediation in next planning cycle.</w:t>
            </w:r>
          </w:p>
        </w:tc>
        <w:tc>
          <w:tcPr>
            <w:tcW w:type="dxa" w:w="2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Program Lead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08</w:t>
            </w:r>
          </w:p>
        </w:tc>
        <w:tc>
          <w:tcPr>
            <w:tcW w:type="dxa" w:w="8640"/>
            <w:tcBorders>
              <w:top w:val="none" w:color="FFFFFF" w:sz="0"/>
              <w:left w:val="none" w:color="FFFFFF" w:sz="0"/>
              <w:bottom w:val="none" w:color="FFFFFF" w:sz="0"/>
              <w:right w:val="none" w:color="FFFFFF" w:sz="0"/>
            </w:tcBorders>
            <w:shd w:fill="1B4F8A" w:val="clear"/>
            <w:tcMar>
              <w:top w:type="dxa" w:w="100"/>
              <w:left w:type="dxa" w:w="200"/>
              <w:bottom w:type="dxa" w:w="100"/>
              <w:right w:type="dxa" w:w="120"/>
            </w:tcMar>
            <w:vAlign w:val="center"/>
          </w:tcPr>
          <w:p>
            <w:r>
              <w:rPr>
                <w:rFonts w:ascii="Calibri" w:cs="Calibri" w:eastAsia="Calibri" w:hAnsi="Calibri"/>
                <w:b/>
                <w:bCs/>
                <w:color w:val="FFFFFF"/>
                <w:sz w:val="26"/>
                <w:szCs w:val="26"/>
              </w:rPr>
              <w:t xml:space="preserve">Master Causal Chain — Synthesized</w:t>
            </w:r>
          </w:p>
        </w:tc>
      </w:tr>
    </w:tbl>
    <w:p/>
    <w:p>
      <w:pPr>
        <w:spacing w:after="60" w:before="60"/>
      </w:pPr>
      <w:r>
        <w:rPr>
          <w:rFonts w:ascii="Calibri" w:cs="Calibri" w:eastAsia="Calibri" w:hAnsi="Calibri"/>
          <w:b w:val="false"/>
          <w:bCs w:val="false"/>
          <w:color w:val="0D2137"/>
          <w:sz w:val="20"/>
          <w:szCs w:val="20"/>
        </w:rPr>
        <w:t xml:space="preserve">This synthesizes the six-dimension cross-case analysis into a unified causal chain. The chain is evidence-labeled at each node.</w:t>
      </w:r>
    </w:p>
    <w:p/>
    <w:p>
      <w:pPr>
        <w:pStyle w:val="Heading2"/>
        <w:spacing w:after="80" w:before="320"/>
      </w:pPr>
      <w:r>
        <w:rPr>
          <w:rFonts w:ascii="Calibri" w:cs="Calibri" w:eastAsia="Calibri" w:hAnsi="Calibri"/>
          <w:b/>
          <w:bCs/>
          <w:color w:val="1B4F8A"/>
          <w:sz w:val="26"/>
          <w:szCs w:val="26"/>
        </w:rPr>
        <w:t xml:space="preserve">Precondition Failures — Design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600"/>
        <w:gridCol w:w="1960"/>
      </w:tblGrid>
      <w:tr>
        <w:tc>
          <w:tcPr>
            <w:tcW w:type="dxa" w:w="6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Node</w:t>
            </w:r>
          </w:p>
        </w:tc>
        <w:tc>
          <w:tcPr>
            <w:tcW w:type="dxa" w:w="3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Causal Event</w:t>
            </w:r>
          </w:p>
        </w:tc>
        <w:tc>
          <w:tcPr>
            <w:tcW w:type="dxa" w:w="36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Effect</w:t>
            </w:r>
          </w:p>
        </w:tc>
        <w:tc>
          <w:tcPr>
            <w:tcW w:type="dxa" w:w="19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 Level</w:t>
            </w:r>
          </w:p>
        </w:tc>
      </w:tr>
      <w:tr>
        <w:tc>
          <w:tcPr>
            <w:tcW w:type="dxa" w:w="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P1</w:t>
            </w:r>
          </w:p>
        </w:tc>
        <w:tc>
          <w:tcPr>
            <w:tcW w:type="dxa" w:w="3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Wrong KPI defined (single operational metric)</w:t>
            </w:r>
          </w:p>
        </w:tc>
        <w:tc>
          <w:tcPr>
            <w:tcW w:type="dxa" w:w="3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signal of customer satisfaction degradation until damage is systemic</w:t>
            </w:r>
          </w:p>
        </w:tc>
        <w:tc>
          <w:tcPr>
            <w:tcW w:type="dxa" w:w="19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w:t>
            </w:r>
          </w:p>
        </w:tc>
      </w:tr>
      <w:tr>
        <w:tc>
          <w:tcPr>
            <w:tcW w:type="dxa" w:w="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P2</w:t>
            </w:r>
          </w:p>
        </w:tc>
        <w:tc>
          <w:tcPr>
            <w:tcW w:type="dxa" w:w="3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escalation path architected</w:t>
            </w:r>
          </w:p>
        </w:tc>
        <w:tc>
          <w:tcPr>
            <w:tcW w:type="dxa" w:w="3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Edge-case accumulation guaranteed from first production day</w:t>
            </w:r>
          </w:p>
        </w:tc>
        <w:tc>
          <w:tcPr>
            <w:tcW w:type="dxa" w:w="19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w:t>
            </w:r>
          </w:p>
        </w:tc>
      </w:tr>
      <w:tr>
        <w:tc>
          <w:tcPr>
            <w:tcW w:type="dxa" w:w="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P3</w:t>
            </w:r>
          </w:p>
        </w:tc>
        <w:tc>
          <w:tcPr>
            <w:tcW w:type="dxa" w:w="3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phased pilot design</w:t>
            </w:r>
          </w:p>
        </w:tc>
        <w:tc>
          <w:tcPr>
            <w:tcW w:type="dxa" w:w="3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failure signal before full-scale exposure</w:t>
            </w:r>
          </w:p>
        </w:tc>
        <w:tc>
          <w:tcPr>
            <w:tcW w:type="dxa" w:w="19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 (Klarna timing)</w:t>
            </w:r>
          </w:p>
        </w:tc>
      </w:tr>
      <w:tr>
        <w:tc>
          <w:tcPr>
            <w:tcW w:type="dxa" w:w="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P4</w:t>
            </w:r>
          </w:p>
        </w:tc>
        <w:tc>
          <w:tcPr>
            <w:tcW w:type="dxa" w:w="3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No primary baseline for ROI</w:t>
            </w:r>
          </w:p>
        </w:tc>
        <w:tc>
          <w:tcPr>
            <w:tcW w:type="dxa" w:w="3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Business case built on fabricated certainty; all downstream ROI reporting is unauditable</w:t>
            </w:r>
          </w:p>
        </w:tc>
        <w:tc>
          <w:tcPr>
            <w:tcW w:type="dxa" w:w="19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(cross-case audit)</w:t>
            </w:r>
          </w:p>
        </w:tc>
      </w:tr>
    </w:tbl>
    <w:p/>
    <w:p>
      <w:pPr>
        <w:pStyle w:val="Heading2"/>
        <w:spacing w:after="80" w:before="320"/>
      </w:pPr>
      <w:r>
        <w:rPr>
          <w:rFonts w:ascii="Calibri" w:cs="Calibri" w:eastAsia="Calibri" w:hAnsi="Calibri"/>
          <w:b/>
          <w:bCs/>
          <w:color w:val="1B4F8A"/>
          <w:sz w:val="26"/>
          <w:szCs w:val="26"/>
        </w:rPr>
        <w:t xml:space="preserve">Deployment Failures — Rollout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600"/>
        <w:gridCol w:w="1960"/>
      </w:tblGrid>
      <w:tr>
        <w:tc>
          <w:tcPr>
            <w:tcW w:type="dxa" w:w="6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Node</w:t>
            </w:r>
          </w:p>
        </w:tc>
        <w:tc>
          <w:tcPr>
            <w:tcW w:type="dxa" w:w="3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Causal Event</w:t>
            </w:r>
          </w:p>
        </w:tc>
        <w:tc>
          <w:tcPr>
            <w:tcW w:type="dxa" w:w="36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Effect</w:t>
            </w:r>
          </w:p>
        </w:tc>
        <w:tc>
          <w:tcPr>
            <w:tcW w:type="dxa" w:w="19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 Level</w:t>
            </w:r>
          </w:p>
        </w:tc>
      </w:tr>
      <w:tr>
        <w:tc>
          <w:tcPr>
            <w:tcW w:type="dxa" w:w="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D1</w:t>
            </w:r>
          </w:p>
        </w:tc>
        <w:tc>
          <w:tcPr>
            <w:tcW w:type="dxa" w:w="3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Speed-to-scale as primary objective</w:t>
            </w:r>
          </w:p>
        </w:tc>
        <w:tc>
          <w:tcPr>
            <w:tcW w:type="dxa" w:w="3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Risk management gates bypassed; full production exposure before failure modes are known</w:t>
            </w:r>
          </w:p>
        </w:tc>
        <w:tc>
          <w:tcPr>
            <w:tcW w:type="dxa" w:w="19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 2/3 of CS in month 1)</w:t>
            </w:r>
          </w:p>
        </w:tc>
      </w:tr>
      <w:tr>
        <w:tc>
          <w:tcPr>
            <w:tcW w:type="dxa" w:w="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D2</w:t>
            </w:r>
          </w:p>
        </w:tc>
        <w:tc>
          <w:tcPr>
            <w:tcW w:type="dxa" w:w="3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Adoption measured as system throughput</w:t>
            </w:r>
          </w:p>
        </w:tc>
        <w:tc>
          <w:tcPr>
            <w:tcW w:type="dxa" w:w="3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False confidence in utilization; actual behavioral adoption and satisfaction unknown</w:t>
            </w:r>
          </w:p>
        </w:tc>
        <w:tc>
          <w:tcPr>
            <w:tcW w:type="dxa" w:w="196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r>
        <w:tc>
          <w:tcPr>
            <w:tcW w:type="dxa" w:w="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D3</w:t>
            </w:r>
          </w:p>
        </w:tc>
        <w:tc>
          <w:tcPr>
            <w:tcW w:type="dxa" w:w="3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Governance review triggered by external crisis</w:t>
            </w:r>
          </w:p>
        </w:tc>
        <w:tc>
          <w:tcPr>
            <w:tcW w:type="dxa" w:w="3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Detection window closes after customer damage has occurred, not before</w:t>
            </w:r>
          </w:p>
        </w:tc>
        <w:tc>
          <w:tcPr>
            <w:tcW w:type="dxa" w:w="19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(Klarna reversal timing)</w:t>
            </w:r>
          </w:p>
        </w:tc>
      </w:tr>
    </w:tbl>
    <w:p/>
    <w:p>
      <w:pPr>
        <w:pStyle w:val="Heading2"/>
        <w:spacing w:after="80" w:before="320"/>
      </w:pPr>
      <w:r>
        <w:rPr>
          <w:rFonts w:ascii="Calibri" w:cs="Calibri" w:eastAsia="Calibri" w:hAnsi="Calibri"/>
          <w:b/>
          <w:bCs/>
          <w:color w:val="1B4F8A"/>
          <w:sz w:val="26"/>
          <w:szCs w:val="26"/>
        </w:rPr>
        <w:t xml:space="preserve">Scale Failures — Enterprise Propagation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600"/>
        <w:gridCol w:w="1960"/>
      </w:tblGrid>
      <w:tr>
        <w:tc>
          <w:tcPr>
            <w:tcW w:type="dxa" w:w="6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Node</w:t>
            </w:r>
          </w:p>
        </w:tc>
        <w:tc>
          <w:tcPr>
            <w:tcW w:type="dxa" w:w="32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Causal Event</w:t>
            </w:r>
          </w:p>
        </w:tc>
        <w:tc>
          <w:tcPr>
            <w:tcW w:type="dxa" w:w="360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Effect</w:t>
            </w:r>
          </w:p>
        </w:tc>
        <w:tc>
          <w:tcPr>
            <w:tcW w:type="dxa" w:w="1960"/>
            <w:tcBorders>
              <w:top w:val="single" w:color="D0D9E4" w:sz="1"/>
              <w:left w:val="single" w:color="D0D9E4" w:sz="1"/>
              <w:bottom w:val="single" w:color="D0D9E4" w:sz="1"/>
              <w:right w:val="single" w:color="D0D9E4" w:sz="1"/>
            </w:tcBorders>
            <w:shd w:fill="2C3E50" w:val="clear"/>
            <w:tcMar>
              <w:top w:type="dxa" w:w="80"/>
              <w:left w:type="dxa" w:w="120"/>
              <w:bottom w:type="dxa" w:w="80"/>
              <w:right w:type="dxa" w:w="120"/>
            </w:tcMar>
            <w:vAlign w:val="top"/>
          </w:tcPr>
          <w:p>
            <w:pPr>
              <w:spacing w:after="20" w:before="20"/>
              <w:jc w:val="left"/>
            </w:pPr>
            <w:r>
              <w:rPr>
                <w:rFonts w:ascii="Calibri" w:cs="Calibri" w:eastAsia="Calibri" w:hAnsi="Calibri"/>
                <w:b/>
                <w:bCs/>
                <w:color w:val="FFFFFF"/>
                <w:sz w:val="18"/>
                <w:szCs w:val="18"/>
              </w:rPr>
              <w:t xml:space="preserve">Evidence Level</w:t>
            </w:r>
          </w:p>
        </w:tc>
      </w:tr>
      <w:tr>
        <w:tc>
          <w:tcPr>
            <w:tcW w:type="dxa" w:w="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S1</w:t>
            </w:r>
          </w:p>
        </w:tc>
        <w:tc>
          <w:tcPr>
            <w:tcW w:type="dxa" w:w="3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75% of AI initiatives miss expected ROI (IBM internal)</w:t>
            </w:r>
          </w:p>
        </w:tc>
        <w:tc>
          <w:tcPr>
            <w:tcW w:type="dxa" w:w="3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Majority of enterprise AI programs destroy or fail to deliver expected value</w:t>
            </w:r>
          </w:p>
        </w:tc>
        <w:tc>
          <w:tcPr>
            <w:tcW w:type="dxa" w:w="19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(IBM, Tier 1)</w:t>
            </w:r>
          </w:p>
        </w:tc>
      </w:tr>
      <w:tr>
        <w:tc>
          <w:tcPr>
            <w:tcW w:type="dxa" w:w="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S2</w:t>
            </w:r>
          </w:p>
        </w:tc>
        <w:tc>
          <w:tcPr>
            <w:tcW w:type="dxa" w:w="32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84% of AI initiatives fail to scale enterprise-wide (IBM internal)</w:t>
            </w:r>
          </w:p>
        </w:tc>
        <w:tc>
          <w:tcPr>
            <w:tcW w:type="dxa" w:w="3600"/>
            <w:tcBorders>
              <w:top w:val="single" w:color="D0D9E4" w:sz="1"/>
              <w:left w:val="single" w:color="D0D9E4" w:sz="1"/>
              <w:bottom w:val="single" w:color="D0D9E4" w:sz="1"/>
              <w:right w:val="single" w:color="D0D9E4" w:sz="1"/>
            </w:tcBorders>
            <w:shd w:fill="F0F4F8"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Point solutions remain isolated; enterprise value unrealized in vast majority of cases</w:t>
            </w:r>
          </w:p>
        </w:tc>
        <w:tc>
          <w:tcPr>
            <w:tcW w:type="dxa" w:w="1960"/>
            <w:tcBorders>
              <w:top w:val="single" w:color="D0D9E4" w:sz="1"/>
              <w:left w:val="single" w:color="D0D9E4" w:sz="1"/>
              <w:bottom w:val="single" w:color="D0D9E4" w:sz="1"/>
              <w:right w:val="single" w:color="D0D9E4" w:sz="1"/>
            </w:tcBorders>
            <w:shd w:fill="E6F4EC"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1A5C38"/>
                <w:sz w:val="18"/>
                <w:szCs w:val="18"/>
              </w:rPr>
              <w:t xml:space="preserve">VERIFIED (IBM, Tier 1)</w:t>
            </w:r>
          </w:p>
        </w:tc>
      </w:tr>
      <w:tr>
        <w:tc>
          <w:tcPr>
            <w:tcW w:type="dxa" w:w="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S3</w:t>
            </w:r>
          </w:p>
        </w:tc>
        <w:tc>
          <w:tcPr>
            <w:tcW w:type="dxa" w:w="3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Evidence opacity — no audited disclosure requirement</w:t>
            </w:r>
          </w:p>
        </w:tc>
        <w:tc>
          <w:tcPr>
            <w:tcW w:type="dxa" w:w="36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Failure rates remain invisible; optimistic metrics dominate external narrative</w:t>
            </w:r>
          </w:p>
        </w:tc>
        <w:tc>
          <w:tcPr>
            <w:tcW w:type="dxa" w:w="19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vAlign w:val="top"/>
          </w:tcPr>
          <w:p>
            <w:pPr>
              <w:spacing w:after="20" w:before="20"/>
              <w:jc w:val="left"/>
            </w:pPr>
            <w:r>
              <w:rPr>
                <w:rFonts w:ascii="Calibri" w:cs="Calibri" w:eastAsia="Calibri" w:hAnsi="Calibri"/>
                <w:b w:val="false"/>
                <w:bCs w:val="false"/>
                <w:color w:val="0D2137"/>
                <w:sz w:val="18"/>
                <w:szCs w:val="18"/>
              </w:rPr>
              <w:t xml:space="preserve">STRATEGIC INFERENCE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FDECEA" w:val="clear"/>
            <w:tcMar>
              <w:top w:type="dxa" w:w="120"/>
              <w:left w:type="dxa" w:w="180"/>
              <w:bottom w:type="dxa" w:w="120"/>
              <w:right w:type="dxa" w:w="180"/>
            </w:tcMar>
          </w:tcPr>
          <w:p>
            <w:pPr>
              <w:spacing w:after="60" w:before="40"/>
            </w:pPr>
            <w:r>
              <w:rPr>
                <w:rFonts w:ascii="Calibri" w:cs="Calibri" w:eastAsia="Calibri" w:hAnsi="Calibri"/>
                <w:b/>
                <w:bCs/>
                <w:color w:val="8B1A1A"/>
                <w:sz w:val="19"/>
                <w:szCs w:val="19"/>
              </w:rPr>
              <w:t xml:space="preserve">SYSTEMIC PATTERN — INTERPRETATION</w:t>
            </w:r>
          </w:p>
          <w:p>
            <w:pPr>
              <w:spacing w:after="30" w:before="30"/>
            </w:pPr>
            <w:r>
              <w:rPr>
                <w:rFonts w:ascii="Calibri" w:cs="Calibri" w:eastAsia="Calibri" w:hAnsi="Calibri"/>
                <w:color w:val="8B1A1A"/>
                <w:sz w:val="18"/>
                <w:szCs w:val="18"/>
              </w:rPr>
              <w:t xml:space="preserve">SYSTEMIC FINDING: Enterprise AI operates in a structurally low-transparency, high-inference</w:t>
            </w:r>
          </w:p>
          <w:p>
            <w:pPr>
              <w:spacing w:after="30" w:before="30"/>
            </w:pPr>
            <w:r>
              <w:rPr>
                <w:rFonts w:ascii="Calibri" w:cs="Calibri" w:eastAsia="Calibri" w:hAnsi="Calibri"/>
                <w:color w:val="8B1A1A"/>
                <w:sz w:val="18"/>
                <w:szCs w:val="18"/>
              </w:rPr>
              <w:t xml:space="preserve">information environment. Companies publish proxy metrics (speed, containment, hours saved).</w:t>
            </w:r>
          </w:p>
          <w:p>
            <w:pPr>
              <w:spacing w:after="30" w:before="30"/>
            </w:pPr>
            <w:r>
              <w:rPr>
                <w:rFonts w:ascii="Calibri" w:cs="Calibri" w:eastAsia="Calibri" w:hAnsi="Calibri"/>
                <w:color w:val="8B1A1A"/>
                <w:sz w:val="18"/>
                <w:szCs w:val="18"/>
              </w:rPr>
              <w:t xml:space="preserve">Failure rates, satisfaction data, and actual ROI are withheld.</w:t>
            </w:r>
          </w:p>
          <w:p>
            <w:pPr>
              <w:spacing w:after="30" w:before="30"/>
            </w:pPr>
            <w:r>
              <w:rPr>
                <w:rFonts w:ascii="Calibri" w:cs="Calibri" w:eastAsia="Calibri" w:hAnsi="Calibri"/>
                <w:color w:val="8B1A1A"/>
                <w:sz w:val="18"/>
                <w:szCs w:val="18"/>
              </w:rPr>
              <w:t xml:space="preserve"/>
            </w:r>
          </w:p>
          <w:p>
            <w:pPr>
              <w:spacing w:after="30" w:before="30"/>
            </w:pPr>
            <w:r>
              <w:rPr>
                <w:rFonts w:ascii="Calibri" w:cs="Calibri" w:eastAsia="Calibri" w:hAnsi="Calibri"/>
                <w:color w:val="8B1A1A"/>
                <w:sz w:val="18"/>
                <w:szCs w:val="18"/>
              </w:rPr>
              <w:t xml:space="preserve">The IBM disclosure is the single anomaly in this dataset — and it shows the majority fail.</w:t>
            </w:r>
          </w:p>
          <w:p>
            <w:pPr>
              <w:spacing w:after="30" w:before="30"/>
            </w:pPr>
            <w:r>
              <w:rPr>
                <w:rFonts w:ascii="Calibri" w:cs="Calibri" w:eastAsia="Calibri" w:hAnsi="Calibri"/>
                <w:color w:val="8B1A1A"/>
                <w:sz w:val="18"/>
                <w:szCs w:val="18"/>
              </w:rPr>
              <w:t xml:space="preserve">The optimistic narrative of enterprise AI transformation is not supported by the primary evidence</w:t>
            </w:r>
          </w:p>
          <w:p>
            <w:pPr>
              <w:spacing w:after="30" w:before="30"/>
            </w:pPr>
            <w:r>
              <w:rPr>
                <w:rFonts w:ascii="Calibri" w:cs="Calibri" w:eastAsia="Calibri" w:hAnsi="Calibri"/>
                <w:color w:val="8B1A1A"/>
                <w:sz w:val="18"/>
                <w:szCs w:val="18"/>
              </w:rPr>
              <w:t xml:space="preserve">available. That gap between narrative and evidence is itself a governance failure.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09</w:t>
            </w:r>
          </w:p>
        </w:tc>
        <w:tc>
          <w:tcPr>
            <w:tcW w:type="dxa" w:w="8640"/>
            <w:tcBorders>
              <w:top w:val="none" w:color="FFFFFF" w:sz="0"/>
              <w:left w:val="none" w:color="FFFFFF" w:sz="0"/>
              <w:bottom w:val="none" w:color="FFFFFF" w:sz="0"/>
              <w:right w:val="none" w:color="FFFFFF" w:sz="0"/>
            </w:tcBorders>
            <w:shd w:fill="1B4F8A" w:val="clear"/>
            <w:tcMar>
              <w:top w:type="dxa" w:w="100"/>
              <w:left w:type="dxa" w:w="200"/>
              <w:bottom w:type="dxa" w:w="100"/>
              <w:right w:type="dxa" w:w="120"/>
            </w:tcMar>
            <w:vAlign w:val="center"/>
          </w:tcPr>
          <w:p>
            <w:r>
              <w:rPr>
                <w:rFonts w:ascii="Calibri" w:cs="Calibri" w:eastAsia="Calibri" w:hAnsi="Calibri"/>
                <w:b/>
                <w:bCs/>
                <w:color w:val="FFFFFF"/>
                <w:sz w:val="26"/>
                <w:szCs w:val="26"/>
              </w:rPr>
              <w:t xml:space="preserve">Quick Reference — Consulting Deployment Card</w:t>
            </w:r>
          </w:p>
        </w:tc>
      </w:tr>
    </w:tbl>
    <w:p/>
    <w:p>
      <w:pPr>
        <w:spacing w:after="60" w:before="60"/>
      </w:pPr>
      <w:r>
        <w:rPr>
          <w:rFonts w:ascii="Calibri" w:cs="Calibri" w:eastAsia="Calibri" w:hAnsi="Calibri"/>
          <w:b w:val="false"/>
          <w:bCs w:val="false"/>
          <w:color w:val="0D2137"/>
          <w:sz w:val="20"/>
          <w:szCs w:val="20"/>
        </w:rPr>
        <w:t xml:space="preserve">A one-page reference for advisory engagements. All items are labeled by evidence strength.</w:t>
      </w:r>
    </w:p>
    <w:p/>
    <w:p>
      <w:pPr>
        <w:pStyle w:val="Heading2"/>
        <w:spacing w:after="80" w:before="320"/>
      </w:pPr>
      <w:r>
        <w:rPr>
          <w:rFonts w:ascii="Calibri" w:cs="Calibri" w:eastAsia="Calibri" w:hAnsi="Calibri"/>
          <w:b/>
          <w:bCs/>
          <w:color w:val="1B4F8A"/>
          <w:sz w:val="26"/>
          <w:szCs w:val="26"/>
        </w:rPr>
        <w:t xml:space="preserve">Pre-Deployment Non-Negotiables (VERIFIED — Klarna failure anchors)</w:t>
      </w:r>
    </w:p>
    <w:p>
      <w:pPr>
        <w:pStyle w:val="ListParagraph"/>
        <w:numPr>
          <w:ilvl w:val="0"/>
          <w:numId w:val="2"/>
        </w:numPr>
        <w:spacing w:after="40" w:before="40"/>
      </w:pPr>
      <w:r>
        <w:rPr>
          <w:rFonts w:ascii="Calibri" w:cs="Calibri" w:eastAsia="Calibri" w:hAnsi="Calibri"/>
          <w:b/>
          <w:bCs/>
          <w:color w:val="1A5C38"/>
          <w:sz w:val="19"/>
          <w:szCs w:val="19"/>
        </w:rPr>
        <w:t xml:space="preserve">Multi-layer KPI framework defined: operational + satisfaction + business impact</w:t>
      </w:r>
    </w:p>
    <w:p>
      <w:pPr>
        <w:pStyle w:val="ListParagraph"/>
        <w:numPr>
          <w:ilvl w:val="0"/>
          <w:numId w:val="2"/>
        </w:numPr>
        <w:spacing w:after="40" w:before="40"/>
      </w:pPr>
      <w:r>
        <w:rPr>
          <w:rFonts w:ascii="Calibri" w:cs="Calibri" w:eastAsia="Calibri" w:hAnsi="Calibri"/>
          <w:b/>
          <w:bCs/>
          <w:color w:val="1A5C38"/>
          <w:sz w:val="19"/>
          <w:szCs w:val="19"/>
        </w:rPr>
        <w:t xml:space="preserve">Escalation path designed, SLA defined, and human capacity confirmed</w:t>
      </w:r>
    </w:p>
    <w:p>
      <w:pPr>
        <w:pStyle w:val="ListParagraph"/>
        <w:numPr>
          <w:ilvl w:val="0"/>
          <w:numId w:val="2"/>
        </w:numPr>
        <w:spacing w:after="40" w:before="40"/>
      </w:pPr>
      <w:r>
        <w:rPr>
          <w:rFonts w:ascii="Calibri" w:cs="Calibri" w:eastAsia="Calibri" w:hAnsi="Calibri"/>
          <w:b/>
          <w:bCs/>
          <w:color w:val="8B1A1A"/>
          <w:sz w:val="19"/>
          <w:szCs w:val="19"/>
        </w:rPr>
        <w:t xml:space="preserve">100% automation as success criterion: flag as STOP signal</w:t>
      </w:r>
    </w:p>
    <w:p>
      <w:pPr>
        <w:pStyle w:val="ListParagraph"/>
        <w:numPr>
          <w:ilvl w:val="0"/>
          <w:numId w:val="2"/>
        </w:numPr>
        <w:spacing w:after="40" w:before="40"/>
      </w:pPr>
      <w:r>
        <w:rPr>
          <w:rFonts w:ascii="Calibri" w:cs="Calibri" w:eastAsia="Calibri" w:hAnsi="Calibri"/>
          <w:b/>
          <w:bCs/>
          <w:color w:val="1A5C38"/>
          <w:sz w:val="19"/>
          <w:szCs w:val="19"/>
        </w:rPr>
        <w:t xml:space="preserve">Primary baseline established for all ROI claims</w:t>
      </w:r>
    </w:p>
    <w:p/>
    <w:p>
      <w:pPr>
        <w:pStyle w:val="Heading2"/>
        <w:spacing w:after="80" w:before="320"/>
      </w:pPr>
      <w:r>
        <w:rPr>
          <w:rFonts w:ascii="Calibri" w:cs="Calibri" w:eastAsia="Calibri" w:hAnsi="Calibri"/>
          <w:b/>
          <w:bCs/>
          <w:color w:val="1B4F8A"/>
          <w:sz w:val="26"/>
          <w:szCs w:val="26"/>
        </w:rPr>
        <w:t xml:space="preserve">Scaling Preconditions (STRATEGIC INFERENCE — best practice)</w:t>
      </w:r>
    </w:p>
    <w:p>
      <w:pPr>
        <w:pStyle w:val="ListParagraph"/>
        <w:numPr>
          <w:ilvl w:val="0"/>
          <w:numId w:val="2"/>
        </w:numPr>
        <w:spacing w:after="40" w:before="40"/>
      </w:pPr>
      <w:r>
        <w:rPr>
          <w:rFonts w:ascii="Calibri" w:cs="Calibri" w:eastAsia="Calibri" w:hAnsi="Calibri"/>
          <w:b w:val="false"/>
          <w:bCs w:val="false"/>
          <w:color w:val="0D3D6B"/>
          <w:sz w:val="19"/>
          <w:szCs w:val="19"/>
        </w:rPr>
        <w:t xml:space="preserve">Pilot outcome validated against primary baseline before scale decision</w:t>
      </w:r>
    </w:p>
    <w:p>
      <w:pPr>
        <w:pStyle w:val="ListParagraph"/>
        <w:numPr>
          <w:ilvl w:val="0"/>
          <w:numId w:val="2"/>
        </w:numPr>
        <w:spacing w:after="40" w:before="40"/>
      </w:pPr>
      <w:r>
        <w:rPr>
          <w:rFonts w:ascii="Calibri" w:cs="Calibri" w:eastAsia="Calibri" w:hAnsi="Calibri"/>
          <w:b w:val="false"/>
          <w:bCs w:val="false"/>
          <w:color w:val="0D3D6B"/>
          <w:sz w:val="19"/>
          <w:szCs w:val="19"/>
        </w:rPr>
        <w:t xml:space="preserve">Change management lead named; training plan completed</w:t>
      </w:r>
    </w:p>
    <w:p>
      <w:pPr>
        <w:pStyle w:val="ListParagraph"/>
        <w:numPr>
          <w:ilvl w:val="0"/>
          <w:numId w:val="2"/>
        </w:numPr>
        <w:spacing w:after="40" w:before="40"/>
      </w:pPr>
      <w:r>
        <w:rPr>
          <w:rFonts w:ascii="Calibri" w:cs="Calibri" w:eastAsia="Calibri" w:hAnsi="Calibri"/>
          <w:b w:val="false"/>
          <w:bCs w:val="false"/>
          <w:color w:val="0D3D6B"/>
          <w:sz w:val="19"/>
          <w:szCs w:val="19"/>
        </w:rPr>
        <w:t xml:space="preserve">Governance review cycle confirmed shorter than customer impact cycle</w:t>
      </w:r>
    </w:p>
    <w:p>
      <w:pPr>
        <w:pStyle w:val="ListParagraph"/>
        <w:numPr>
          <w:ilvl w:val="0"/>
          <w:numId w:val="2"/>
        </w:numPr>
        <w:spacing w:after="40" w:before="40"/>
      </w:pPr>
      <w:r>
        <w:rPr>
          <w:rFonts w:ascii="Calibri" w:cs="Calibri" w:eastAsia="Calibri" w:hAnsi="Calibri"/>
          <w:b w:val="false"/>
          <w:bCs w:val="false"/>
          <w:color w:val="0D3D6B"/>
          <w:sz w:val="19"/>
          <w:szCs w:val="19"/>
        </w:rPr>
        <w:t xml:space="preserve">Data quality and RAG audit completed</w:t>
      </w:r>
    </w:p>
    <w:p/>
    <w:p>
      <w:pPr>
        <w:pStyle w:val="Heading2"/>
        <w:spacing w:after="80" w:before="320"/>
      </w:pPr>
      <w:r>
        <w:rPr>
          <w:rFonts w:ascii="Calibri" w:cs="Calibri" w:eastAsia="Calibri" w:hAnsi="Calibri"/>
          <w:b/>
          <w:bCs/>
          <w:color w:val="1B4F8A"/>
          <w:sz w:val="26"/>
          <w:szCs w:val="26"/>
        </w:rPr>
        <w:t xml:space="preserve">Base Rate Expectations (VERIFIED — IBM internal data)</w:t>
      </w:r>
    </w:p>
    <w:p>
      <w:pPr>
        <w:pStyle w:val="ListParagraph"/>
        <w:numPr>
          <w:ilvl w:val="0"/>
          <w:numId w:val="2"/>
        </w:numPr>
        <w:spacing w:after="40" w:before="40"/>
      </w:pPr>
      <w:r>
        <w:rPr>
          <w:rFonts w:ascii="Calibri" w:cs="Calibri" w:eastAsia="Calibri" w:hAnsi="Calibri"/>
          <w:b/>
          <w:bCs/>
          <w:color w:val="1A5C38"/>
          <w:sz w:val="19"/>
          <w:szCs w:val="19"/>
        </w:rPr>
        <w:t xml:space="preserve">75% of AI initiatives will miss expected ROI. Design business case accordingly.</w:t>
      </w:r>
    </w:p>
    <w:p>
      <w:pPr>
        <w:pStyle w:val="ListParagraph"/>
        <w:numPr>
          <w:ilvl w:val="0"/>
          <w:numId w:val="2"/>
        </w:numPr>
        <w:spacing w:after="40" w:before="40"/>
      </w:pPr>
      <w:r>
        <w:rPr>
          <w:rFonts w:ascii="Calibri" w:cs="Calibri" w:eastAsia="Calibri" w:hAnsi="Calibri"/>
          <w:b/>
          <w:bCs/>
          <w:color w:val="1A5C38"/>
          <w:sz w:val="19"/>
          <w:szCs w:val="19"/>
        </w:rPr>
        <w:t xml:space="preserve">84% of AI initiatives will not scale enterprise-wide. Treat pilot success as a starting point, not proof.</w:t>
      </w:r>
    </w:p>
    <w:p>
      <w:pPr>
        <w:pStyle w:val="ListParagraph"/>
        <w:numPr>
          <w:ilvl w:val="0"/>
          <w:numId w:val="2"/>
        </w:numPr>
        <w:spacing w:after="40" w:before="40"/>
      </w:pPr>
      <w:r>
        <w:rPr>
          <w:rFonts w:ascii="Calibri" w:cs="Calibri" w:eastAsia="Calibri" w:hAnsi="Calibri"/>
          <w:b w:val="false"/>
          <w:bCs w:val="false"/>
          <w:color w:val="0D3D6B"/>
          <w:sz w:val="19"/>
          <w:szCs w:val="19"/>
        </w:rPr>
        <w:t xml:space="preserve">Client Zero model (IBM): internal proof before external sale. Reduces but does not eliminate failure risk.</w:t>
      </w:r>
    </w:p>
    <w:p/>
    <w:p>
      <w:pPr>
        <w:pStyle w:val="Heading2"/>
        <w:spacing w:after="80" w:before="320"/>
      </w:pPr>
      <w:r>
        <w:rPr>
          <w:rFonts w:ascii="Calibri" w:cs="Calibri" w:eastAsia="Calibri" w:hAnsi="Calibri"/>
          <w:b/>
          <w:bCs/>
          <w:color w:val="1B4F8A"/>
          <w:sz w:val="26"/>
          <w:szCs w:val="26"/>
        </w:rPr>
        <w:t xml:space="preserve">Evidence Integrity Rules (VERIFIED — cross-case audit finding)</w:t>
      </w:r>
    </w:p>
    <w:p>
      <w:pPr>
        <w:pStyle w:val="ListParagraph"/>
        <w:numPr>
          <w:ilvl w:val="0"/>
          <w:numId w:val="2"/>
        </w:numPr>
        <w:spacing w:after="40" w:before="40"/>
      </w:pPr>
      <w:r>
        <w:rPr>
          <w:rFonts w:ascii="Calibri" w:cs="Calibri" w:eastAsia="Calibri" w:hAnsi="Calibri"/>
          <w:b/>
          <w:bCs/>
          <w:color w:val="1A5C38"/>
          <w:sz w:val="19"/>
          <w:szCs w:val="19"/>
        </w:rPr>
        <w:t xml:space="preserve">Any ROI figure not traceable to a Tier 1–2 primary source is INFERENCE. Label it.</w:t>
      </w:r>
    </w:p>
    <w:p>
      <w:pPr>
        <w:pStyle w:val="ListParagraph"/>
        <w:numPr>
          <w:ilvl w:val="0"/>
          <w:numId w:val="2"/>
        </w:numPr>
        <w:spacing w:after="40" w:before="40"/>
      </w:pPr>
      <w:r>
        <w:rPr>
          <w:rFonts w:ascii="Calibri" w:cs="Calibri" w:eastAsia="Calibri" w:hAnsi="Calibri"/>
          <w:b w:val="false"/>
          <w:bCs w:val="false"/>
          <w:color w:val="0D3D6B"/>
          <w:sz w:val="19"/>
          <w:szCs w:val="19"/>
        </w:rPr>
        <w:t xml:space="preserve">Adoption ≠ throughput. Require per-user behavioral data, not system volume data.</w:t>
      </w:r>
    </w:p>
    <w:p>
      <w:pPr>
        <w:pStyle w:val="ListParagraph"/>
        <w:numPr>
          <w:ilvl w:val="0"/>
          <w:numId w:val="2"/>
        </w:numPr>
        <w:spacing w:after="40" w:before="40"/>
      </w:pPr>
      <w:r>
        <w:rPr>
          <w:rFonts w:ascii="Calibri" w:cs="Calibri" w:eastAsia="Calibri" w:hAnsi="Calibri"/>
          <w:b w:val="false"/>
          <w:bCs w:val="false"/>
          <w:color w:val="614A00"/>
          <w:sz w:val="19"/>
          <w:szCs w:val="19"/>
        </w:rPr>
        <w:t xml:space="preserve">No company in this dataset achieved L4 governance maturity. Set realistic client expectations.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FFF8DC" w:val="clear"/>
            <w:tcMar>
              <w:top w:type="dxa" w:w="120"/>
              <w:left w:type="dxa" w:w="180"/>
              <w:bottom w:type="dxa" w:w="120"/>
              <w:right w:type="dxa" w:w="180"/>
            </w:tcMar>
          </w:tcPr>
          <w:p>
            <w:pPr>
              <w:spacing w:after="60" w:before="40"/>
            </w:pPr>
            <w:r>
              <w:rPr>
                <w:rFonts w:ascii="Calibri" w:cs="Calibri" w:eastAsia="Calibri" w:hAnsi="Calibri"/>
                <w:b/>
                <w:bCs/>
                <w:color w:val="614A00"/>
                <w:sz w:val="19"/>
                <w:szCs w:val="19"/>
              </w:rPr>
              <w:t xml:space="preserve">EVIDENCE INTEGRITY REMINDER</w:t>
            </w:r>
          </w:p>
          <w:p>
            <w:pPr>
              <w:spacing w:after="30" w:before="30"/>
            </w:pPr>
            <w:r>
              <w:rPr>
                <w:rFonts w:ascii="Calibri" w:cs="Calibri" w:eastAsia="Calibri" w:hAnsi="Calibri"/>
                <w:color w:val="614A00"/>
                <w:sz w:val="18"/>
                <w:szCs w:val="18"/>
              </w:rPr>
              <w:t xml:space="preserve">This framework synthesizes and structures existing evidence. It does not introduce new empirical claims.</w:t>
            </w:r>
          </w:p>
          <w:p>
            <w:pPr>
              <w:spacing w:after="30" w:before="30"/>
            </w:pPr>
            <w:r>
              <w:rPr>
                <w:rFonts w:ascii="Calibri" w:cs="Calibri" w:eastAsia="Calibri" w:hAnsi="Calibri"/>
                <w:color w:val="614A00"/>
                <w:sz w:val="18"/>
                <w:szCs w:val="18"/>
              </w:rPr>
              <w:t xml:space="preserve">VERIFIED labels require Tier 1–2 source citation in client deliverables.</w:t>
            </w:r>
          </w:p>
          <w:p>
            <w:pPr>
              <w:spacing w:after="30" w:before="30"/>
            </w:pPr>
            <w:r>
              <w:rPr>
                <w:rFonts w:ascii="Calibri" w:cs="Calibri" w:eastAsia="Calibri" w:hAnsi="Calibri"/>
                <w:color w:val="614A00"/>
                <w:sz w:val="18"/>
                <w:szCs w:val="18"/>
              </w:rPr>
              <w:t xml:space="preserve">STRATEGIC INFERENCE labels must be disclosed as such to clients.</w:t>
            </w:r>
          </w:p>
          <w:p>
            <w:pPr>
              <w:spacing w:after="30" w:before="30"/>
            </w:pPr>
            <w:r>
              <w:rPr>
                <w:rFonts w:ascii="Calibri" w:cs="Calibri" w:eastAsia="Calibri" w:hAnsi="Calibri"/>
                <w:color w:val="614A00"/>
                <w:sz w:val="18"/>
                <w:szCs w:val="18"/>
              </w:rPr>
              <w:t xml:space="preserve">INTERPRETATION labels reflect analyst synthesis only — corroborate before citing as evidence.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jc w:val="center"/>
    </w:pPr>
    <w:r>
      <w:rPr>
        <w:rFonts w:ascii="Calibri" w:cs="Calibri" w:eastAsia="Calibri" w:hAnsi="Calibri"/>
        <w:color w:val="4A6580"/>
        <w:sz w:val="16"/>
        <w:szCs w:val="16"/>
      </w:rPr>
      <w:t xml:space="preserve">Evidence-audited | No new facts introduced | </w:t>
    </w:r>
    <w:r>
      <w:rPr>
        <w:rFonts w:ascii="Calibri" w:cs="Calibri" w:eastAsia="Calibri" w:hAnsi="Calibri"/>
        <w:color w:val="1B4F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jc w:val="right"/>
    </w:pPr>
    <w:r>
      <w:rPr>
        <w:rFonts w:ascii="Calibri" w:cs="Calibri" w:eastAsia="Calibri" w:hAnsi="Calibri"/>
        <w:color w:val="4A6580"/>
        <w:sz w:val="16"/>
        <w:szCs w:val="16"/>
      </w:rPr>
      <w:t xml:space="preserve">Enterprise AI Risk &amp; Governance Framework</w:t>
    </w:r>
    <w:r>
      <w:rPr>
        <w:rFonts w:ascii="Calibri" w:cs="Calibri" w:eastAsia="Calibri" w:hAnsi="Calibri"/>
        <w:color w:val="4A6580"/>
        <w:sz w:val="16"/>
        <w:szCs w:val="16"/>
      </w:rPr>
      <w:t xml:space="preserve">   |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Calibri" w:cs="Calibri" w:eastAsia="Calibri" w:hAnsi="Calibri"/>
      <w:b/>
      <w:bCs/>
      <w:color w:val="0D2137"/>
      <w:sz w:val="36"/>
      <w:szCs w:val="36"/>
    </w:rPr>
  </w:style>
  <w:style w:type="paragraph" w:styleId="Heading2">
    <w:name w:val="Heading 2"/>
    <w:basedOn w:val="Normal"/>
    <w:next w:val="Normal"/>
    <w:qFormat/>
    <w:pPr>
      <w:spacing w:after="80" w:before="320"/>
      <w:outlineLvl w:val="1"/>
    </w:pPr>
    <w:rPr>
      <w:rFonts w:ascii="Calibri" w:cs="Calibri" w:eastAsia="Calibri" w:hAnsi="Calibri"/>
      <w:b/>
      <w:bCs/>
      <w:color w:val="1B4F8A"/>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2026-05-21T04:24:27.110Z</dcterms:created>
  <dcterms:modified xsi:type="dcterms:W3CDTF">2026-05-21T04:24:27.122Z</dcterms:modified>
</cp:coreProperties>
</file>

<file path=docProps/custom.xml><?xml version="1.0" encoding="utf-8"?>
<Properties xmlns="http://schemas.openxmlformats.org/officeDocument/2006/custom-properties" xmlns:vt="http://schemas.openxmlformats.org/officeDocument/2006/docPropsVTypes"/>
</file>