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A1F3D"/>
          <w:sz w:val="56"/>
          <w:szCs w:val="56"/>
        </w:rPr>
        <w:t xml:space="preserve">VIETNAM ENTERPRISE AI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B7791F"/>
          <w:sz w:val="40"/>
          <w:szCs w:val="40"/>
        </w:rPr>
        <w:t xml:space="preserve">READINESS &amp; DEPLOYMENT FRAMEWORK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A6580"/>
          <w:sz w:val="22"/>
          <w:szCs w:val="22"/>
        </w:rPr>
        <w:t xml:space="preserve">An Evidence-Calibrated Adaptation of the Enterprise AI Risk &amp; Governance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Advisory — Internal Planning Document</w:t>
            </w:r>
          </w:p>
        </w:tc>
      </w:tr>
      <w:tr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Comparative structural analysis: VN enterprise context vs. JPMorgan / IBM / Morgan Stanley / McKinsey cases</w:t>
            </w:r>
          </w:p>
        </w:tc>
      </w:tr>
      <w:tr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Evidence Policy</w:t>
            </w:r>
          </w:p>
        </w:tc>
        <w:tc>
          <w:tcPr>
            <w:tcW w:type="dxa" w:w="6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VERIFIED = Tier 1–2 primary sources. INFERENCE = Structural deduction. No market statistics fabricated.</w:t>
            </w:r>
          </w:p>
        </w:tc>
      </w:tr>
      <w:tr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May 2026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  EVIDENCE INTEGRITY NOTICE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Vietnam Context Notice: This framework does not assume Vietnam enterprises operate at US enterprise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maturity. All gap assessments are structural inferences based on documented differences in governance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culture, infrastructure maturity, and organizational norms. No fabricated statistics have been introduced.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Practitioners must validate each gap with client-specific diagnostics before use in engagements.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Executive Summary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A1F3D"/>
          <w:sz w:val="20"/>
          <w:szCs w:val="20"/>
        </w:rPr>
        <w:t xml:space="preserve">The global enterprise AI cases examined (JPMorgan, IBM, Morgan Stanley, McKinsey) operated from a foundation of documented governance structures, primary sourcing culture, multi-layer KPI frameworks, and mature change management disciplines. Even under these favorable conditions, IBM's own internal data shows 75% of AI initiatives missed expected ROI and 84% failed to scale enterprise-wide.</w:t>
      </w:r>
    </w:p>
    <w:p>
      <w:pP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A1F3D"/>
          <w:sz w:val="20"/>
          <w:szCs w:val="20"/>
        </w:rPr>
        <w:t xml:space="preserve">Vietnamese enterprises face an additional, upstream layer of structural gaps that must be resolved before reaching the deployment decision points where the global cases failed. The implication: Vietnam's AI transformation risk is not primarily located at deployment — it is located at readiness.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6F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0F5156"/>
                <w:sz w:val="19"/>
                <w:szCs w:val="19"/>
              </w:rPr>
              <w:t xml:space="preserve">CENTRAL FINDING — STRATEGIC INFERENCE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0F5156"/>
                <w:sz w:val="18"/>
                <w:szCs w:val="18"/>
              </w:rPr>
              <w:t xml:space="preserve">Central finding: Vietnamese enterprises are at risk of failing before reaching the stages at which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0F5156"/>
                <w:sz w:val="18"/>
                <w:szCs w:val="18"/>
              </w:rPr>
              <w:t xml:space="preserve">JPMorgan, IBM, and Klarna failed. The global failure taxonomy identified seven failure types;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0F5156"/>
                <w:sz w:val="18"/>
                <w:szCs w:val="18"/>
              </w:rPr>
              <w:t xml:space="preserve">Vietnam adds ten upstream structural gaps. Without addressing the upstream layer, deployment-stage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0F5156"/>
                <w:sz w:val="18"/>
                <w:szCs w:val="18"/>
              </w:rPr>
              <w:t xml:space="preserve">frameworks are premature tools applied to an unprepared foundation.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Layer</w:t>
            </w:r>
          </w:p>
        </w:tc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Global Cases (Reference)</w:t>
            </w:r>
          </w:p>
        </w:tc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Vietnam Enterprises (Adaptation)</w:t>
            </w:r>
          </w:p>
        </w:tc>
        <w:tc>
          <w:tcPr>
            <w:tcW w:type="dxa" w:w="18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Governance</w:t>
            </w:r>
          </w:p>
        </w:tc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L2 internal governance; some primary disclosure</w:t>
            </w:r>
          </w:p>
        </w:tc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L0–L1 estimated; no audited AI governance frameworks publicly documented</w:t>
            </w:r>
          </w:p>
        </w:tc>
        <w:tc>
          <w:tcPr>
            <w:tcW w:type="dxa" w:w="18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Data Infrastructure</w:t>
            </w:r>
          </w:p>
        </w:tc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Centralized, cloud-native at scale (MS: GPT-4 on 100k docs)</w:t>
            </w:r>
          </w:p>
        </w:tc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Fragmented; significant paper/offline data; multi-system silos</w:t>
            </w:r>
          </w:p>
        </w:tc>
        <w:tc>
          <w:tcPr>
            <w:tcW w:type="dxa" w:w="18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SOP Maturity</w:t>
            </w:r>
          </w:p>
        </w:tc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Documented processes that AI can augment</w:t>
            </w:r>
          </w:p>
        </w:tc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Oral knowledge transfer; undocumented workflows prevalent</w:t>
            </w:r>
          </w:p>
        </w:tc>
        <w:tc>
          <w:tcPr>
            <w:tcW w:type="dxa" w:w="18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Named leads; structured programs; budget allocated</w:t>
            </w:r>
          </w:p>
        </w:tc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Largely absent; reactive; low budget precedent</w:t>
            </w:r>
          </w:p>
        </w:tc>
        <w:tc>
          <w:tcPr>
            <w:tcW w:type="dxa" w:w="18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KPI Culture</w:t>
            </w:r>
          </w:p>
        </w:tc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Multi-metric, outcome-oriented (with known failures)</w:t>
            </w:r>
          </w:p>
        </w:tc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Single-metric or activity-only; no satisfaction baseline culture</w:t>
            </w:r>
          </w:p>
        </w:tc>
        <w:tc>
          <w:tcPr>
            <w:tcW w:type="dxa" w:w="18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Escalation Culture</w:t>
            </w:r>
          </w:p>
        </w:tc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Hierarchical but structured escalation paths</w:t>
            </w:r>
          </w:p>
        </w:tc>
        <w:tc>
          <w:tcPr>
            <w:tcW w:type="dxa" w:w="3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Strong hierarchy but weak lateral escalation protocol</w:t>
            </w:r>
          </w:p>
        </w:tc>
        <w:tc>
          <w:tcPr>
            <w:tcW w:type="dxa" w:w="18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PART 1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10-Dimension Structural Gap Analysis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Vietnam enterprise context vs. global deployment baseline</w:t>
            </w:r>
          </w:p>
        </w:tc>
      </w:tr>
    </w:tbl>
    <w:p>
      <w:pP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A1F3D"/>
          <w:sz w:val="20"/>
          <w:szCs w:val="20"/>
        </w:rPr>
        <w:t xml:space="preserve">Each dimension is analyzed across five lenses: symptoms, operational causes, deployment consequences, risk severity, and mitigation strategy. All assessments are STRATEGIC INFERENCE unless marked otherwise.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1 — Governance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structural deduction from known governance norms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documented AI governance framework exists at board or C-suite level in most Vietnamese enterprises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Technology decisions made by operational managers without structured governance review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pilots approved based on vendor demonstration, not evidence-based feasibility assessment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separation between AI technology governance and business outcome accountability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Corporate governance in Vietnam is predominantly compliance-driven (State regulation) rather than performance-driven (internal accountability)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Board-level technology literacy is limited; AI governance is delegated to IT departments by default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Absence of Chief AI Officer or equivalent role with cross-functional mandate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Short planning horizons (annual cycle) misaligned with 12–24 month AI deployment timelines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Equivalent to Klarna L0 governance: no KPI framework, no escalation design, no accountability structure before deployment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investments made without auditable success criteria → cannot determine failure vs. success post-hoc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Governance review triggered only by visible failure, not by internal signal — same mechanism that allowed Klarna damage to accumulate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19"/>
                <w:szCs w:val="19"/>
              </w:rPr>
              <w:t xml:space="preserve">DEPLOYMENT CONSEQUENCE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Reference: IBM's internal data (VERIFIED) shows 75% of AI initiatives miss ROI and 84% fail to scale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even at an organization with mature governance. Vietnam enterprises without governance frameworks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start from a position structurally below the IBM baseline — compounding the base failure rate.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Establish an AI Steering Committee with C-level membership before any production deployment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Define success criteria (multi-metric KPI framework) as a governance gate, not a post-hoc exercise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Implement a 90-day governance design sprint before pilot approval — minimum viable governance before minimum viable product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Adopt the L2 governance threshold from the Governance Maturity Model as the entry requirement for pilot approval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2 — SOP Maturity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structural deduction from organizational norms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Core business processes documented only in employees' heads or informal Zalo/email threads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Process variation between team members performing the same function is high and untracked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Onboarding relies on shadowing rather than documented workflow handbooks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'We've always done it this way' is the primary process rationale, not a documented SOP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SME-dominated economy: founder-run enterprises where the founder is the SOP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High employee tenure in some sectors means undocumented knowledge has never caused a crisis — yet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Process documentation is perceived as overhead, not as infrastructure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regulatory mandate for internal SOP documentation in most industries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cannot augment an undocumented process — it can only replicate its inconsistencies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RAG (Retrieval-Augmented Generation) systems require structured, curated knowledge bases. McKinsey Lilli was built on 100,000+ documented internal documents. (VERIFIED, Tier 1). Most Vietnamese enterprises cannot source an equivalent corpus.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Automation of informal processes accelerates errors at scale — the opposite of the intended outcome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Workflow redesign must precede AI deployment, adding 3–6 months to realistic project timelines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 xml:space="preserve">INFERENCE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STRATEGIC INFERENCE: The SOP gap is the single most common cause of AI project failure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in emerging market enterprise contexts. Without documented processes, AI deployment is not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acceleration — it is automated inconsistency. No primary Vietnam-specific study is cited;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this is deduced from documented enterprise AI prerequisites across global cases.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Mandate a Process Archaeology phase: 4–8 weeks of documenting current-state workflows before any AI scoping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Deploy process mining tools (lightweight) to surface undocumented workflows from system logs where available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Scope AI pilots only to processes with existing documentation — do not attempt to document and automate simultaneously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3 — Knowledge-Base Fragmentation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Critical business knowledge stored across Zalo groups, Excel files, email inboxes, and paper documents simultaneously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single searchable repository of institutional knowledge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Employee departure causes permanent knowledge loss with no mitigation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Different departments hold contradictory versions of the same policy or procedure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enterprise knowledge management investment historically — perceived as a cost center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Rapid organizational growth without corresponding process and documentation investment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Tool proliferation: Zalo, Teams, Google Workspace, and legacy on-premise systems coexist without integration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Data sovereignty concerns have historically limited cloud adoption, keeping data in fragmented on-premise stores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knowledge retrieval systems (RAG architecture) require a unified, curated, high-quality knowledge base. Fragmentation makes this technically infeasible without prior consolidation investment.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Morgan Stanley's AskResearchGPT was built on a corpus of ~100,000 structured research reports. (VERIFIED). The prerequisite for that system was decades of structured document production — not improvised at deployment time.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Estimated 6–12 months of data consolidation required before a meaningful RAG deployment in a fragmented Vietnamese enterprise — this timeline is rarely acknowledged in vendor proposals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Conduct a knowledge audit before any AI vendor engagement: inventory all knowledge repositories, classify by structure level, estimate consolidation effort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Prioritize AI use cases that require structured data only (not knowledge retrieval) in early pilots — process automation before knowledge AI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Establish a Data Stewardship role responsible for knowledge consolidation roadmap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4 — Middle-Management Resistance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organizational behavior pattern, not Vietnam-specific primary data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Department heads agree to AI deployment in meetings, then withhold team cooperation during implementation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'Pilot fatigue' — multiple failed technology initiatives have trained managers to wait for projects to die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is perceived as a threat to headcount, triggering defensive behavior even when leadership denies replacement intent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Middle managers are primary information gatekeepers; AI threatens their informational advantage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Vietnamese enterprise culture places high value on seniority and positional authority; AI democratizes information access, which is experienced as threat, not benefit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Performance incentives are rarely tied to process improvement — managers optimize for stability, not transformation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Top-down directive culture means AI mandates from leadership are acknowledged but not internalized at the implementation layer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Change management programs, where they exist, focus on communication, not on restructuring incentive systems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Adoption failure despite technical success — the exact pattern described in the global framework as 'behavioral adoption gap'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Data input quality sabotage: managers ensure AI receives incomplete or misleading data, producing bad outputs that justify removal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Shadow processes develop: managers maintain parallel manual systems 'just in case', doubling work rather than reducing it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INFERENCE — CRITICAL ADVISORY NOTE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This is the most socially complex gap. It cannot be solved by technology investment alone.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It requires restructuring performance incentives and reframing AI as a capability amplifier,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not a headcount reduction tool. Without this reframing, technical deployment will not translate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to organizational value — regardless of how well the AI system performs.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Design AI deployment explicitly around capability amplification, not efficiency extraction — communicate this distinction repeatedly and consistently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Identify 'AI Champions' at middle-management level before deployment — not post-hoc evangelists, but co-designers with stake in success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Tie manager performance metrics to AI adoption and team productivity, not just headcount management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Run transparent impact assessments: show managers what AI does and does not affect regarding their role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5 — AI Literacy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Leadership conflates AI chatbots (consumer apps) with enterprise AI deployment requirements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Vendor promises of '30-day deployment' accepted without challenge due to inability to assess technical feasibility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is evaluated on demo quality, not on evidence of production performance at scale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internal capacity to write an AI requirements specification, evaluate vendor proposals, or define a pilot success metric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University curricula have not yet produced a generation of AI-literate business managers — engineering graduates have technical skills but not enterprise transformation skills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Consulting market is immature: advice quality varies widely, and enterprises cannot reliably distinguish good from poor counsel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Consumer AI exposure (ChatGPT, Copilot) creates false confidence — leaders believe they understand AI from personal use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Scope creep: projects start as 'chatbot for customer service' and expand to 'AI for everything' without governance guardrails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Vendor dependency: inability to evaluate AI systems internally means enterprises cannot exit poor vendor relationships without catastrophic disruption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Failed pilots misattributed to AI technology rather than governance design — reducing appetite for future investment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Require a minimum of one AI-literate internal resource (not just IT) on every AI project steering committee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Commission independent technical due diligence before signing any AI vendor contract above threshold spend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Run 2-day AI Literacy workshops for C-suite and senior management before any deployment decision — not product demos, but structured capability assessments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6 — Data Infrastructure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Core business data stored in multiple disconnected ERP systems, Excel files, or legacy on-premise databases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single source of truth for customer, transaction, or operational data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Data quality issues (duplicates, missing fields, inconsistent formats) discovered only at deployment time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Real-time data pipelines do not exist for most operational functions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Technology investment has historically prioritized transactional systems (accounting, payroll) over analytical infrastructure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Data governance is absent: no data ownership, no quality standards, no lineage tracking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Cloud migration is incomplete or not started in many enterprises — data remains in on-premise silos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Budget allocation for 'invisible infrastructure' (data pipelines, warehouses) is culturally difficult to justify to leadership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models trained on poor-quality data produce poor-quality outputs — 'garbage in, garbage out' is not a cliché; it is a deployment killer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Data consolidation timelines (estimated 6–18 months for meaningful consolidation) are incompatible with vendor-promised 'rapid deployment' timelines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Models hallucinate at higher rates when retrieval corpus is fragmented, duplicated, or contradictory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19"/>
                <w:szCs w:val="19"/>
              </w:rPr>
              <w:t xml:space="preserve">DEPLOYMENT CONSEQUENCE — INFERENCE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This gap is the most technically non-negotiable. Unlike governance gaps (which can be addressed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with organizational design) or literacy gaps (which can be addressed with training),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data infrastructure gaps require capital investment and time. They cannot be bypassed.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Any AI vendor who does not raise this issue in the first sales conversation is a signal risk.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Conduct a Data Readiness Assessment as prerequisite to any AI vendor engagement: inventory data sources, assess quality, estimate consolidation cost and timeline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Sequence AI pilots to use cases where data is already clean and centralized — do not attempt to clean data and deploy AI simultaneously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Establish a data warehouse/lake as a shared infrastructure investment before scaling AI — this is not overhead, it is the foundation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7 — Escalation Culture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Employees route all edge cases upward rather than to designated horizontal escalation paths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system errors reported to senior management as crises rather than to technical leads as operational issues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defined protocol for when AI output should be overridden by human judgment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'The AI said it' used as justification for decisions without human review — abdicating accountability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Vietnamese organizational culture is strongly hierarchical — horizontal escalation (to a peer department or technical team) is culturally unfamiliar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Error reporting is associated with blame rather than process improvement — employees suppress AI errors rather than escalating them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Escalation path design is not part of Vietnamese IT or project management training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Klarna failed because no escalation path existed. Vietnamese enterprises face a structurally similar risk, compounded by a cultural norm that suppresses error reporting even when escalation paths technically exist.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IBM's 94% containment with ~6% escalation (VERIFIED) represents a designed, functioning escalation system. This requires both technical design AND a culture that uses it without fear of blame.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errors surface as customer-facing crises rather than as handled operational exceptions — reputational damage is the likely consequence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Design escalation paths explicitly, not implicitly — define who receives what type of AI error, at what threshold, within what response time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Create a blameless error reporting culture for AI systems: errors are data, not failures. Communicate this explicitly and repeatedly.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Test escalation paths in pilot phase — deliberately surface edge cases and trace escalation behavior before production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8 — Procurement and Budgeting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projects evaluated using same ROI framework as capital equipment purchases — immediate, tangible, depreciation-based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Multi-year technology investment budgets are uncommon; annual budget cycles interrupt multi-phase AI programs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Procurement decisions driven by price, not by evidence of deployment success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Change management and training budget excluded from AI project proposals — treated as overhead, not as required investment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Vietnamese enterprise budgeting is predominantly short-cycle (12 months or less)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ROI expectations are calibrated to manufacturing or trading returns — 3–12 month payback periods — incompatible with 12–24 month AI transformation timelines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Procurement processes prioritize lowest bid; technical evaluation criteria are underdeveloped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Finance functions have limited experience with 'intangible infrastructure' investment categories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Programs that require 18–24 months to produce verifiable ROI are cancelled at the 12-month budget review — before they reach the production stage where value is generated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Change management investment is cut first when budgets are revised — exactly the investment that determines whether technical deployment produces organizational value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Vendor selection by price rather than evidence produces the weakest deployments at the highest operational risk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Redesign AI investment cases to align with Vietnamese budget cycles: define a 12-month milestone with verifiable interim metrics that justify continued investment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Explicitly budget change management as a line item (not absorbed into IT project overhead) and protect it from revision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Develop vendor evaluation scorecards weighted on evidence of production deployment success, not demo quality or price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9 — Security and Compliance Maturity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internal AI risk assessment framework — security reviews applied to AI using IT security checklists designed for traditional software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Data classification policies do not distinguish between data appropriate for AI training vs. data requiring human-only handling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Third-party AI vendor contracts signed without data processing agreements or usage restrictions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audit trail requirement for AI-generated decisions with business consequences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Vietnam's data protection regulatory framework (Decree 13/2023/ND-CP on Personal Data Protection) is recent and implementation is still maturing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Compliance function is primarily oriented toward tax and labor regulation, not data governance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Security functions are under-resourced and focused on perimeter defense, not data lineage or AI output accountability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Customer data inadvertently included in AI training or retrieval systems without consent — regulatory and reputational exposure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audit trail for AI-assisted decisions — inability to defend decisions to regulators, customers, or courts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Vendor lock-in without contractual protection: proprietary AI systems embed customer data in ways that prevent migration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Develop an AI-specific data classification policy before any deployment: what data can be used in AI systems, under what conditions, with what consent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Require Data Processing Agreements (DPA) and usage restriction clauses in all AI vendor contracts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Establish an audit trail requirement for all AI-generated outputs used in business decisions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Align deployment timeline with PDPD compliance assessment — not as a blocker, but as a parallel workstream</w:t>
      </w:r>
    </w:p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Gap 10 — Change Management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AI deployment is treated as an IT project, not as an organizational transformation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Communication about AI deployment consists of announcement emails — no sustained adoption program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No measurement of behavioral adoption; only system utilization metrics reported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Change management budget is either absent or embedded in IT project overhead where it is spent on technical items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Operational Causes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Change management as a discipline is not established in most Vietnamese enterprises — the function does not exist in most organizational structures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HR function is primarily administrative; organizational development capacity is rare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Success is measured by deployment completion (go-live date), not by adoption outcomes</w:t>
      </w:r>
    </w:p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Deployment Consequences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Technical deployment succeeds; behavioral adoption fails — the most common pattern in global AI deployments and structurally more likely in the Vietnam context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Employees develop workarounds that neutralize AI benefits while maintaining the appearance of adoption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Executive perception: 'AI doesn't work' — when the actual failure is change management, not AI capability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19"/>
                <w:szCs w:val="19"/>
              </w:rPr>
              <w:t xml:space="preserve">ADVISORY NOTE — INFERENCE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The global framework's STRATEGIC INFERENCE that 'change management = 20–30% of implementation effort'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is directionally correct but undersized for the Vietnam context. In organizations where the function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does not exist and behavioral resistance is higher, the investment requirement is likely higher.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This cannot be quantified without client-specific diagnosis.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Mitigation Strategy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Establish a dedicated Change Management workstream — not a sub-task of IT project management — with named ownership and budget protection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Define adoption metrics separately from utilization metrics: who is using the tool, how frequently, with what self-reported confidence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Run a 30-60-90 day adoption check-in program post-deployment, separate from technical go-live reporting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color w:val="0A1F3D"/>
          <w:sz w:val="19"/>
          <w:szCs w:val="19"/>
        </w:rPr>
        <w:t xml:space="preserve">Identify and invest in AI Champions at team level — peers who adopt early and support colleagues — as the most cost-effective adoption mechanism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PART 2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Strategic Frameworks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Vietnam Enterprise AI Readiness Matrices &amp; Deployment Models</w:t>
            </w:r>
          </w:p>
        </w:tc>
      </w:tr>
    </w:tbl>
    <w:p>
      <w:pPr>
        <w:spacing w:after="20" w:before="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A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Vietnam Enterprise AI Readiness Matrix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10-dimension severity and mitigation priority map</w:t>
            </w:r>
          </w:p>
        </w:tc>
      </w:tr>
    </w:tbl>
    <w:p>
      <w:pP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A1F3D"/>
          <w:sz w:val="20"/>
          <w:szCs w:val="20"/>
        </w:rPr>
        <w:t xml:space="preserve">Severity is assessed against deployment consequence, not ease of mitigation. All severity ratings are STRATEGIC INFERENCE.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2700"/>
        <w:gridCol w:w="2200"/>
        <w:gridCol w:w="1460"/>
      </w:tblGrid>
      <w:tr>
        <w:trPr>
          <w:tblHeader/>
        </w:trP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Blocker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 Priority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Sequence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1. Governance Readiness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 KPI framework; no accountability structure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Establish AI Steering Committee + KPI framework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pilot approval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2. SOP Maturity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cannot augment undocumented processes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Process Archaeology phase mandatory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AI scoping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3. Knowledge-Base Fragmentation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RAG systems require unified, curated corpus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Knowledge audit + data consolidation roadmap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knowledge AI pilots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4. Middle-Management Resistance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Behavioral adoption failure despite technical success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Champions program + incentive redesign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deployment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5. AI Literacy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Vendor proposals accepted without technical evaluation capacity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C-suite literacy program + independent due diligence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vendor selection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6. Data Infrastructure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Poor data quality produces poor AI output — non-negotiable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Data Readiness Assessment; sequence to clean data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any pilot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7. Escalation Culture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Errors suppressed rather than escalated; crises surface externally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Blameless error culture + explicit escalation SLA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production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8. Procurement &amp; Budget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Annual budget cycle incompatible with 18–24 month AI programs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Multi-year budget design + change mgmt line item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project approval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9. Security &amp; Compliance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 AI-specific data classification or audit trail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data classification policy + DPA in all contracts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vendor sign-off</w:t>
            </w:r>
          </w:p>
        </w:tc>
      </w:tr>
      <w:tr>
        <w:tc>
          <w:tcPr>
            <w:tcW w:type="dxa" w:w="21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10. Change Management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Behavioral adoption fails without dedicated investment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Dedicated CM workstream with named owner + budget</w:t>
            </w:r>
          </w:p>
        </w:tc>
        <w:tc>
          <w:tcPr>
            <w:tcW w:type="dxa" w:w="14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go-live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 xml:space="preserve">PRIORITIZATION LOGIC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CRITICAL dimensions (1, 2, 6, 10) must be addressed before deployment reaches the pilot stage.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HIGH dimensions (3, 4, 5, 7, 8, 9) should be addressed in parallel with pilot design.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Attempting to deploy without resolving CRITICAL gaps replicates the Klarna failure pattern at a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structurally more vulnerable starting position.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B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Vietnam AI Deployment Risk Map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Risk dimensions mapped by detection window and remediation complexity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700"/>
        <w:gridCol w:w="1500"/>
        <w:gridCol w:w="18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Detection Window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Remediation Complexity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 (VN context)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Global Parallel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Wrong KPI / no outcome metric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Pre-deployment (design phase)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LOW — governance decision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Klarna failure (VERIFIED)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 escalation path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Pre-deployment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MEDIUM — architecture + culture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Klarna (VERIFIED) + cultural amplifier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Undocumented process automation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Pre-deployment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HIGH — requires process archaeology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 global parallel; VN-specific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Data quality failure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Pilot phase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HIGH — capital + time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McKinsey/MS: required mature corpus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Middle-management sabotage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Pilot phase (behavioral)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HIGH — requires incentive redesign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Adoption gap pattern (global)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Knowledge base fragmentation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Pilot phase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HIGH — consolidation timeline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MS: 100k structured docs baseline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Vendor dependency / lock-in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Scale phase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VERY HIGH — exit cost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Procurement culture gap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Change management failure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Scale phase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MEDIUM — but prevention is cheaper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IBM: 84% scale failure rate (VERIFIED)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Compliance exposure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Scale phase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HIGH — regulatory and reputational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PDPD compliance maturity gap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literacy gap</w:t>
            </w:r>
          </w:p>
        </w:tc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All phases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MEDIUM — training + hiring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Cannot evaluate vendors or failures</w:t>
            </w:r>
          </w:p>
        </w:tc>
        <w:tc>
          <w:tcPr>
            <w:tcW w:type="dxa" w:w="12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Vietnam Change Management Failure Patterns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Culturally-specific failure modes that amplify global patterns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800"/>
        <w:gridCol w:w="17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 Pattern</w:t>
            </w:r>
          </w:p>
        </w:tc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Cultural Driver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Deployment Signal</w:t>
            </w:r>
          </w:p>
        </w:tc>
        <w:tc>
          <w:tcPr>
            <w:tcW w:type="dxa" w:w="21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Hierarchical Compliance Without Adoption</w:t>
            </w:r>
          </w:p>
        </w:tc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Employees report tool usage; actual reliance remains on parallel manual process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Deference to authority; fear of contradicting leadership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High system login rate; low task completion via AI</w:t>
            </w:r>
          </w:p>
        </w:tc>
        <w:tc>
          <w:tcPr>
            <w:tcW w:type="dxa" w:w="21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Anonymous adoption surveys; behavioral observation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Seniority-Based Exemption</w:t>
            </w:r>
          </w:p>
        </w:tc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Senior staff exempt themselves from AI adoption; behavior cascades to their teams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Seniority as status signal; AI use perceived as admitting limitation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Adoption concentrated in junior staff only</w:t>
            </w:r>
          </w:p>
        </w:tc>
        <w:tc>
          <w:tcPr>
            <w:tcW w:type="dxa" w:w="21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Executive adoption as explicit signal; C-suite visible use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Blame-Triggered Suppression</w:t>
            </w:r>
          </w:p>
        </w:tc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errors unreported; workarounds developed silently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Error reporting associated with blame and loss of face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Escalation rate near zero despite known edge cases</w:t>
            </w:r>
          </w:p>
        </w:tc>
        <w:tc>
          <w:tcPr>
            <w:tcW w:type="dxa" w:w="21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Blameless error culture declaration + protected reporting channel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Vendor Relationship Loyalty</w:t>
            </w:r>
          </w:p>
        </w:tc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Switching vendors perceived as loss of face for the champion who selected them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Relationship-based procurement culture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Poor-performing vendor retained beyond failure evidence</w:t>
            </w:r>
          </w:p>
        </w:tc>
        <w:tc>
          <w:tcPr>
            <w:tcW w:type="dxa" w:w="21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Separate vendor evaluation from internal champion accountability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Initiative Decay</w:t>
            </w:r>
          </w:p>
        </w:tc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project maintained in name only after initial enthusiasm; resources redirected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'Pilot fatigue' from multiple prior failed technology initiatives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Steering committee meetings become infrequent; metrics stop being tracked</w:t>
            </w:r>
          </w:p>
        </w:tc>
        <w:tc>
          <w:tcPr>
            <w:tcW w:type="dxa" w:w="21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Time-boxed milestones with mandatory governance review gates</w:t>
            </w:r>
          </w:p>
        </w:tc>
      </w:tr>
      <w:tr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Knowledge Hoarding as Power</w:t>
            </w:r>
          </w:p>
        </w:tc>
        <w:tc>
          <w:tcPr>
            <w:tcW w:type="dxa" w:w="20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Middle managers withhold data or process knowledge from AI systems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Information = positional power; AI democratizes access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outputs low-quality due to incomplete input data</w:t>
            </w:r>
          </w:p>
        </w:tc>
        <w:tc>
          <w:tcPr>
            <w:tcW w:type="dxa" w:w="21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Incentive redesign: reward knowledge sharing, not knowledge holding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D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Vietnam Governance Readiness Levels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Adapted from the Governance Maturity Model for Vietnam enterprise context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800"/>
        <w:gridCol w:w="2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Vietnam-Specific Characteristics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Enterprise Profile</w:t>
            </w:r>
          </w:p>
        </w:tc>
        <w:tc>
          <w:tcPr>
            <w:tcW w:type="dxa" w:w="2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Requirement for AI Pilot</w:t>
            </w:r>
          </w:p>
        </w:tc>
      </w:tr>
      <w:tr>
        <w:tc>
          <w:tcPr>
            <w:tcW w:type="dxa" w:w="6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VN-L0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Absent</w:t>
            </w:r>
          </w:p>
        </w:tc>
        <w:tc>
          <w:tcPr>
            <w:tcW w:type="dxa" w:w="2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 AI governance. Technology decisions made by operations managers. No KPI framework. No escalation design.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Family-run SME; first-generation leadership; no prior enterprise technology program</w:t>
            </w:r>
          </w:p>
        </w:tc>
        <w:tc>
          <w:tcPr>
            <w:tcW w:type="dxa" w:w="2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Not eligible — resolve governance gap first</w:t>
            </w:r>
          </w:p>
        </w:tc>
      </w:tr>
      <w:tr>
        <w:tc>
          <w:tcPr>
            <w:tcW w:type="dxa" w:w="6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VN-L1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Directive</w:t>
            </w:r>
          </w:p>
        </w:tc>
        <w:tc>
          <w:tcPr>
            <w:tcW w:type="dxa" w:w="2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C-suite mandate for AI exists. No structured governance body. IT owns implementation without business partnership. Single operational metric.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Mid-size enterprise; CEO-driven technology agenda; IT department as primary AI owner</w:t>
            </w:r>
          </w:p>
        </w:tc>
        <w:tc>
          <w:tcPr>
            <w:tcW w:type="dxa" w:w="2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Not eligible — minimum L2 required</w:t>
            </w:r>
          </w:p>
        </w:tc>
      </w:tr>
      <w:tr>
        <w:tc>
          <w:tcPr>
            <w:tcW w:type="dxa" w:w="6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VN-L2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Structured</w:t>
            </w:r>
          </w:p>
        </w:tc>
        <w:tc>
          <w:tcPr>
            <w:tcW w:type="dxa" w:w="2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AI Steering Committee established. Multi-metric KPI framework defined pre-deployment. Escalation path documented.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Larger enterprise or FDI-influenced company; professional management layer; prior ERP or digital transformation experience</w:t>
            </w:r>
          </w:p>
        </w:tc>
        <w:tc>
          <w:tcPr>
            <w:tcW w:type="dxa" w:w="2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MINIMUM THRESHOLD for pilot approval</w:t>
            </w:r>
          </w:p>
        </w:tc>
      </w:tr>
      <w:tr>
        <w:tc>
          <w:tcPr>
            <w:tcW w:type="dxa" w:w="6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VN-L3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Managed</w:t>
            </w:r>
          </w:p>
        </w:tc>
        <w:tc>
          <w:tcPr>
            <w:tcW w:type="dxa" w:w="2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Pilot outcomes validated against primary baseline before scale decision. Change management workstream funded and staffed. Governance review cycle active.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Listed company; foreign JV; enterprise with external governance requirements (bank, insurer, listed co.)</w:t>
            </w:r>
          </w:p>
        </w:tc>
        <w:tc>
          <w:tcPr>
            <w:tcW w:type="dxa" w:w="2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Required for scale-phase investment</w:t>
            </w:r>
          </w:p>
        </w:tc>
      </w:tr>
      <w:tr>
        <w:tc>
          <w:tcPr>
            <w:tcW w:type="dxa" w:w="6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VN-L4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Optimized</w:t>
            </w:r>
          </w:p>
        </w:tc>
        <w:tc>
          <w:tcPr>
            <w:tcW w:type="dxa" w:w="2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Continuous escalation feedback. Blameless error culture active. Failure rates tracked and disclosed internally. Adoption metrics separate from throughput metrics.</w:t>
            </w:r>
          </w:p>
        </w:tc>
        <w:tc>
          <w:tcPr>
            <w:tcW w:type="dxa" w:w="2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Rare in Vietnam context. Multinational subsidiary with global governance standards applied locally.</w:t>
            </w:r>
          </w:p>
        </w:tc>
        <w:tc>
          <w:tcPr>
            <w:tcW w:type="dxa" w:w="2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Aspirational standard; not achievable in first deployment cycle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 xml:space="preserve">INFERENCE — ADVISORY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Most Vietnamese enterprises assessed without prior evidence will be at VN-L0 or VN-L1.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The minimum viable governance for a production AI pilot is VN-L2. Reaching VN-L2 from VN-L0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requires an estimated 60–90 days of governance design work — not technology work.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3A6B"/>
                <w:sz w:val="18"/>
                <w:szCs w:val="18"/>
              </w:rPr>
              <w:t xml:space="preserve">This timeline is INFERENCE; validate with client-specific diagnostic.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Recommended Land-and-Expand Deployment Sequence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Phased entry strategy for Vietnam enterprise context</w:t>
            </w:r>
          </w:p>
        </w:tc>
      </w:tr>
    </w:tbl>
    <w:p>
      <w:pP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A1F3D"/>
          <w:sz w:val="20"/>
          <w:szCs w:val="20"/>
        </w:rPr>
        <w:t xml:space="preserve">The Land-and-Expand model sequences AI deployment to match Vietnam's structural readiness gaps. Each phase has a governance gate that must pass before the next phase begins.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900"/>
        <w:gridCol w:w="1900"/>
        <w:gridCol w:w="1800"/>
        <w:gridCol w:w="17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Governance Gate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1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Basis</w:t>
            </w:r>
          </w:p>
        </w:tc>
      </w:tr>
      <w:tr>
        <w:tc>
          <w:tcPr>
            <w:tcW w:type="dxa" w:w="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Foundation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60–90 days</w:t>
            </w:r>
          </w:p>
        </w:tc>
        <w:tc>
          <w:tcPr>
            <w:tcW w:type="dxa" w:w="1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Governance design; process archaeology; data readiness assessment; AI literacy program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VN-L2 governance achieved; at least one documented process with clean data identified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Governance document approved by Steering Committee; data readiness report complete</w:t>
            </w:r>
          </w:p>
        </w:tc>
        <w:tc>
          <w:tcPr>
            <w:tcW w:type="dxa" w:w="1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structural prerequisite</w:t>
            </w:r>
          </w:p>
        </w:tc>
      </w:tr>
      <w:tr>
        <w:tc>
          <w:tcPr>
            <w:tcW w:type="dxa" w:w="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Narrow Pilot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90 days</w:t>
            </w:r>
          </w:p>
        </w:tc>
        <w:tc>
          <w:tcPr>
            <w:tcW w:type="dxa" w:w="1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Single use case, single team, ≤ 50 users; process already documented; data already clean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Multi-metric KPI defined; escalation path tested; human review gate active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Pilot KPI met; escalation rate in 3–10% range; satisfaction score tracked</w:t>
            </w:r>
          </w:p>
        </w:tc>
        <w:tc>
          <w:tcPr>
            <w:tcW w:type="dxa" w:w="1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(IBM: 94% containment reference)</w:t>
            </w:r>
          </w:p>
        </w:tc>
      </w:tr>
      <w:tr>
        <w:tc>
          <w:tcPr>
            <w:tcW w:type="dxa" w:w="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Validated Expansion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90–180 days</w:t>
            </w:r>
          </w:p>
        </w:tc>
        <w:tc>
          <w:tcPr>
            <w:tcW w:type="dxa" w:w="1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Expand to 3–5 additional teams within same department; deepen use case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Pilot ROI validated against primary baseline; change management lead in place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Behavioral adoption rate measured (not throughput); satisfaction maintained from Phase 1</w:t>
            </w:r>
          </w:p>
        </w:tc>
        <w:tc>
          <w:tcPr>
            <w:tcW w:type="dxa" w:w="1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Cross-Department Scale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180 days+</w:t>
            </w:r>
          </w:p>
        </w:tc>
        <w:tc>
          <w:tcPr>
            <w:tcW w:type="dxa" w:w="1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Expand to 2–3 additional departments; governance review before each new department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Department-level governance owner appointed; knowledge base curated for each new scope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Department-level adoption cohort measured; escalation paths tested in each department</w:t>
            </w:r>
          </w:p>
        </w:tc>
        <w:tc>
          <w:tcPr>
            <w:tcW w:type="dxa" w:w="1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</w:t>
            </w:r>
          </w:p>
        </w:tc>
      </w:tr>
      <w:tr>
        <w:tc>
          <w:tcPr>
            <w:tcW w:type="dxa" w:w="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Enterprise Integration</w:t>
            </w:r>
          </w:p>
        </w:tc>
        <w:tc>
          <w:tcPr>
            <w:tcW w:type="dxa" w:w="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12 months+</w:t>
            </w:r>
          </w:p>
        </w:tc>
        <w:tc>
          <w:tcPr>
            <w:tcW w:type="dxa" w:w="19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Enterprise-wide deployment; AI integrated into core operational workflows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L3 governance achieved; external audit of AI governance framework</w:t>
            </w:r>
          </w:p>
        </w:tc>
        <w:tc>
          <w:tcPr>
            <w:tcW w:type="dxa" w:w="17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Business impact metrics (not just operational): revenue, retention, margin effect</w:t>
            </w:r>
          </w:p>
        </w:tc>
        <w:tc>
          <w:tcPr>
            <w:tcW w:type="dxa" w:w="1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(IBM 16% scale success base rate applies here)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19"/>
                <w:szCs w:val="19"/>
              </w:rPr>
              <w:t xml:space="preserve">BASE RATE REMINDER — VERIFIED (IBM) + INFERENCE (timeline)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IBM's VERIFIED internal data: only 16% of AI initiatives scale enterprise-wide.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The phased sequence above is designed to maximize the probability of reaching Phase 4 successfully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by preventing premature scaling. Each governance gate is a checkpoint that the IBM and Klarna cases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B1C1C"/>
                <w:sz w:val="18"/>
                <w:szCs w:val="18"/>
              </w:rPr>
              <w:t xml:space="preserve">lacked. The timeline estimates are INFERENCE — validate with client-specific conditions.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</w:t>
            </w:r>
          </w:p>
        </w:tc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Enterprise AI Adoption Strategy for Vietnam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A0B4CC"/>
                <w:sz w:val="19"/>
                <w:szCs w:val="19"/>
              </w:rPr>
              <w:t xml:space="preserve">An integrated adoption architecture for the Vietnam enterprise context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Strategic Pillars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Pillar 1: Evidence Before Deployment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Establish primary baseline for every KPI before pilot begins. No ROI claim without audited baseline.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Global cases show 75% ROI failure rate (VERIFIED, IBM). Vietnam enterprises that deploy without baselines cannot determine failure vs. success.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Pillar 2: Process Before AI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Document workflows before automating them. No AI pilot on undocumented processes.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SOP gap is Vietnam's most common AI failure mode. Automating informal processes scales inconsistency.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Pillar 3: Escalation by Design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Design escalation paths before go-live. Test them in pilot. Size human capacity for 6–15% overflow.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Klarna failed without escalation (VERIFIED). Vietnam's blame-suppression culture amplifies this risk.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Pillar 4: Champions, Not Mandates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Recruit AI Champions at team level. Peer adoption is more effective than executive mandate in hierarchical cultures.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Middle management resistance pattern means top-down mandates create compliance without adoption.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Pillar 5: Measure Adoption, Not Utilization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Track per-user behavioral adoption separately from system throughput metrics.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Throughput metrics inflate apparent adoption. Behavioral adoption is what determines whether AI creates value.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Pillar 6: Budget for Change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Protect change management budget as a non-negotiable line item. Never embed it in IT overhead.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Change management is the highest-leverage investment in Vietnam context; it is also the most frequently cut.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Pillar 7: Govern Publicly Internally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Make AI governance decisions visible to the organization. Publish steering committee decisions, escalation rates, and adoption metrics.</w:t>
            </w:r>
          </w:p>
        </w:tc>
        <w:tc>
          <w:tcPr>
            <w:tcW w:type="dxa" w:w="32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Reduces information asymmetry. Counters knowledge-hoarding culture. Signals institutional commitment.</w:t>
            </w:r>
          </w:p>
        </w:tc>
        <w:tc>
          <w:tcPr>
            <w:tcW w:type="dxa" w:w="15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4A8A"/>
          <w:sz w:val="26"/>
          <w:szCs w:val="26"/>
        </w:rPr>
        <w:t xml:space="preserve">Adoption KPI Architecture — Vietnam Adaptation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5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 Layer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Cadence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Vietnam-Specific Note</w:t>
            </w:r>
          </w:p>
        </w:tc>
      </w:tr>
      <w:t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VN-L2 governance achieved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Yes/No gate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Before pilot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Non-negotiable. No pilot without L2.</w:t>
            </w:r>
          </w:p>
        </w:tc>
      </w:tr>
      <w:t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Task completion via AI (not just login)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Define in pilot design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Weekly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Distinguish from login rate — logins ≠ adoption</w:t>
            </w:r>
          </w:p>
        </w:tc>
      </w:tr>
      <w:t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Escalation rate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3–10% target range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Weekly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0% = STOP signal. &gt;15% = scope mismatch.</w:t>
            </w:r>
          </w:p>
        </w:tc>
      </w:tr>
      <w:t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Behavioral Adoption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Per-user active usage (not system volume)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Increasing trend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Monthly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Survey-based. Cannot be derived from logs alone.</w:t>
            </w:r>
          </w:p>
        </w:tc>
      </w:tr>
      <w:t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Satisfaction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User-reported confidence in AI output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Baseline + trend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Monthly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Anonymous to reduce face-saving bias</w:t>
            </w:r>
          </w:p>
        </w:tc>
      </w:tr>
      <w:t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Process cycle time, error rate, output quality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Defined per use case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Quarterly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Must be defined pre-pilot. Cannot be invented post-hoc.</w:t>
            </w:r>
          </w:p>
        </w:tc>
      </w:tr>
      <w:tr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Champion network size, training completion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Growing trend</w:t>
            </w:r>
          </w:p>
        </w:tc>
        <w:tc>
          <w:tcPr>
            <w:tcW w:type="dxa" w:w="1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Monthly</w:t>
            </w:r>
          </w:p>
        </w:tc>
        <w:tc>
          <w:tcPr>
            <w:tcW w:type="dxa" w:w="2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Leading indicator of scale-phase success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1A5C38"/>
                <w:sz w:val="19"/>
                <w:szCs w:val="19"/>
              </w:rPr>
              <w:t xml:space="preserve">EVIDENCE ANCHOR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5C38"/>
                <w:sz w:val="18"/>
                <w:szCs w:val="18"/>
              </w:rPr>
              <w:t xml:space="preserve">Evidence anchor for this KPI architecture: IBM's 94% containment + 40% cost reduction are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5C38"/>
                <w:sz w:val="18"/>
                <w:szCs w:val="18"/>
              </w:rPr>
              <w:t xml:space="preserve">the only verified metrics in this dataset from a functioning enterprise AI deployment.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5C38"/>
                <w:sz w:val="18"/>
                <w:szCs w:val="18"/>
              </w:rPr>
              <w:t xml:space="preserve">The escalation rate range (3–10%) is STRATEGIC INFERENCE from the IBM reference point.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1A5C38"/>
                <w:sz w:val="18"/>
                <w:szCs w:val="18"/>
              </w:rPr>
              <w:t xml:space="preserve">All other Vietnam-specific metrics are INFERENCE. Validate with client diagnostic before use.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A8A" w:sz="8" w:space="4"/>
        </w:pBdr>
        <w:spacing w:after="120" w:before="480"/>
      </w:pPr>
      <w:r>
        <w:rPr>
          <w:rFonts w:ascii="Calibri" w:cs="Calibri" w:eastAsia="Calibri" w:hAnsi="Calibri"/>
          <w:b/>
          <w:bCs/>
          <w:color w:val="0A1F3D"/>
          <w:sz w:val="36"/>
          <w:szCs w:val="36"/>
        </w:rPr>
        <w:t xml:space="preserve">Evidence Integrity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Claim Category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Level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0A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 Guidance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IBM: 75% of AI initiatives missed ROI; 16% scaled enterprise-wide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VERIFIED (Tier 1)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Safe to cite with Alice Labs 2026 source attribution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Klarna: No escalation path → failure → reversal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VERIFIED (Tier 1–3)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Safe to cite with ORBilu + Customer Experience Dive attribution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McKinsey Lilli: 100k+ document corpus; Google Cloud; 70% productivity gain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VERIFIED (Tier 1–2)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Safe to cite; productivity % is Tier 2 citation chain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Morgan Stanley: GPT-4; 70k+ reports; Investment Banking + S&amp;T + Research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38"/>
                <w:sz w:val="18"/>
                <w:szCs w:val="18"/>
              </w:rPr>
              <w:t xml:space="preserve">VERIFIED (Tier 1)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Safe to cite with MS press release attribution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Vietnam 10-dimension gap analysis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structural deduction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Disclose as inference to clients. Validate with diagnostic.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Vietnam Governance Level assessments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comparative structural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Disclose as inference. Not primary data on Vietnam enterprises.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Land-and-Expand timeline estimates (60–90 days etc.)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structural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Directional only. Client-specific validation required.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Escalation rate target (3–10%)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A6B"/>
                <w:sz w:val="18"/>
                <w:szCs w:val="18"/>
              </w:rPr>
              <w:t xml:space="preserve">INFERENCE — derived from IBM 94%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One data point. Treat as directional, not as industry benchmark.</w:t>
            </w:r>
          </w:p>
        </w:tc>
      </w:tr>
      <w:tr>
        <w:tc>
          <w:tcPr>
            <w:tcW w:type="dxa" w:w="25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Change management budget (20–30% of effort)</w:t>
            </w:r>
          </w:p>
        </w:tc>
        <w:tc>
          <w:tcPr>
            <w:tcW w:type="dxa" w:w="180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18"/>
                <w:szCs w:val="18"/>
              </w:rPr>
              <w:t xml:space="preserve">INTERPRETATION — Tier 5 blog origin in source</w:t>
            </w:r>
          </w:p>
        </w:tc>
        <w:tc>
          <w:tcPr>
            <w:tcW w:type="dxa" w:w="50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1F3D"/>
                <w:sz w:val="18"/>
                <w:szCs w:val="18"/>
              </w:rPr>
              <w:t xml:space="preserve">Cite as directional only. Not a validated benchmark.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8" w:sz="1"/>
              <w:left w:val="single" w:color="D1D9E8" w:sz="1"/>
              <w:bottom w:val="single" w:color="D1D9E8" w:sz="1"/>
              <w:right w:val="single" w:color="D1D9E8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FINAL EVIDENCE INTEGRITY NOTICE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No Vietnam-specific primary market statistics have been introduced in this document.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All Vietnam gap assessments are structural inferences based on documented organizational,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cultural, and infrastructure differences. Every INFERENCE must be disclosed as such in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client-facing deliverables and validated with client-specific diagnostic work.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A8A" w:sz="4" w:space="4"/>
      </w:pBdr>
      <w:jc w:val="center"/>
    </w:pPr>
    <w:r>
      <w:rPr>
        <w:rFonts w:ascii="Calibri" w:cs="Calibri" w:eastAsia="Calibri" w:hAnsi="Calibri"/>
        <w:color w:val="4A6580"/>
        <w:sz w:val="16"/>
        <w:szCs w:val="16"/>
      </w:rPr>
      <w:t xml:space="preserve">Strategic Inference — No fabricated statistics — </w:t>
    </w:r>
    <w:r>
      <w:rPr>
        <w:rFonts w:ascii="Calibri" w:cs="Calibri" w:eastAsia="Calibri" w:hAnsi="Calibri"/>
        <w:color w:val="1A4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A8A" w:sz="4" w:space="4"/>
      </w:pBdr>
      <w:jc w:val="right"/>
    </w:pPr>
    <w:r>
      <w:rPr>
        <w:rFonts w:ascii="Calibri" w:cs="Calibri" w:eastAsia="Calibri" w:hAnsi="Calibri"/>
        <w:color w:val="4A6580"/>
        <w:sz w:val="16"/>
        <w:szCs w:val="16"/>
      </w:rPr>
      <w:t xml:space="preserve">Vietnam Enterprise AI Readiness &amp; Deployment Framework  |  CONFIDENTIAL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Calibri" w:cs="Calibri" w:eastAsia="Calibri" w:hAnsi="Calibri"/>
      <w:b/>
      <w:bCs/>
      <w:color w:val="0A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Calibri" w:cs="Calibri" w:eastAsia="Calibri" w:hAnsi="Calibri"/>
      <w:b/>
      <w:bCs/>
      <w:color w:val="1A4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2026-05-21T04:33:43.410Z</dcterms:created>
  <dcterms:modified xsi:type="dcterms:W3CDTF">2026-05-21T04:33:43.411Z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