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43F13">
      <w:pPr>
        <w:spacing w:before="0" w:after="80"/>
        <w:jc w:val="left"/>
      </w:pPr>
      <w:r>
        <w:rPr>
          <w:rFonts w:ascii="Arial" w:hAnsi="Arial"/>
          <w:b/>
          <w:color w:val="1F4E78"/>
          <w:sz w:val="32"/>
        </w:rPr>
        <w:t>BÁO CÁO TƯ VẤN KỸ THUẬT: QUẢN LÝ DỮ LIỆU &amp; HYBRID WORKFLOW</w:t>
      </w:r>
    </w:p>
    <w:p w14:paraId="3C2EF756">
      <w:pPr>
        <w:spacing w:after="280"/>
      </w:pPr>
      <w:r>
        <w:rPr>
          <w:rFonts w:ascii="Calibri" w:hAnsi="Calibri"/>
          <w:i/>
          <w:color w:val="595959"/>
          <w:sz w:val="22"/>
        </w:rPr>
        <w:t>Dự án Startup: Ví điện tử CampusPay (PTIT)</w:t>
      </w:r>
    </w:p>
    <w:tbl>
      <w:tblPr>
        <w:tblStyle w:val="12"/>
        <w:tblW w:w="0" w:type="auto"/>
        <w:jc w:val="center"/>
        <w:tblLayout w:type="autofit"/>
        <w:tblCellMar>
          <w:top w:w="0" w:type="dxa"/>
          <w:left w:w="108" w:type="dxa"/>
          <w:bottom w:w="0" w:type="dxa"/>
          <w:right w:w="108" w:type="dxa"/>
        </w:tblCellMar>
      </w:tblPr>
      <w:tblGrid>
        <w:gridCol w:w="9360"/>
      </w:tblGrid>
      <w:tr w14:paraId="44EA6C2A">
        <w:tblPrEx>
          <w:tblCellMar>
            <w:top w:w="0" w:type="dxa"/>
            <w:left w:w="108" w:type="dxa"/>
            <w:bottom w:w="0" w:type="dxa"/>
            <w:right w:w="108" w:type="dxa"/>
          </w:tblCellMar>
        </w:tblPrEx>
        <w:trPr>
          <w:jc w:val="center"/>
        </w:trPr>
        <w:tc>
          <w:tcPr>
            <w:tcW w:w="9360" w:type="dxa"/>
            <w:tcBorders>
              <w:top w:val="nil"/>
              <w:left w:val="single" w:color="1F4E78" w:sz="36" w:space="0"/>
              <w:bottom w:val="nil"/>
              <w:right w:val="nil"/>
            </w:tcBorders>
            <w:shd w:val="clear" w:color="auto" w:fill="F2F4F7"/>
            <w:tcMar>
              <w:top w:w="120" w:type="dxa"/>
              <w:left w:w="180" w:type="dxa"/>
              <w:bottom w:w="120" w:type="dxa"/>
              <w:right w:w="180" w:type="dxa"/>
            </w:tcMar>
          </w:tcPr>
          <w:p w14:paraId="701EB6F3">
            <w:pPr>
              <w:spacing w:after="40"/>
            </w:pPr>
            <w:r>
              <w:rPr>
                <w:rFonts w:ascii="Arial" w:hAnsi="Arial"/>
                <w:b/>
                <w:color w:val="1F4E78"/>
                <w:sz w:val="21"/>
              </w:rPr>
              <w:t xml:space="preserve"> Mục tiêu báo cáo:</w:t>
            </w:r>
          </w:p>
          <w:p w14:paraId="62957EB1">
            <w:pPr>
              <w:spacing w:after="0"/>
            </w:pPr>
            <w:r>
              <w:rPr>
                <w:rFonts w:ascii="Calibri" w:hAnsi="Calibri"/>
                <w:sz w:val="20"/>
              </w:rPr>
              <w:t>Phân tích sự cố mất dữ liệu do hỏng phần cứng của nhóm CampusPay, giải thích hiện tượng xung đột phiên bản và đề xuất quy trình Hybrid Workflow chuẩn hóa để ngăn ngừa rủi ro tương tự.</w:t>
            </w:r>
          </w:p>
        </w:tc>
      </w:tr>
    </w:tbl>
    <w:p w14:paraId="3FE56855">
      <w:pPr>
        <w:spacing w:before="120"/>
      </w:pPr>
    </w:p>
    <w:p w14:paraId="74045838">
      <w:pPr>
        <w:spacing w:before="200" w:after="80"/>
      </w:pPr>
      <w:r>
        <w:rPr>
          <w:rFonts w:ascii="Arial" w:hAnsi="Arial"/>
          <w:b/>
          <w:color w:val="1F4E78"/>
          <w:sz w:val="24"/>
        </w:rPr>
        <w:t>PHẦN 1: PHÂN TÍCH VẤN ĐỀ &amp; RỦI RO DỮ LIỆU</w:t>
      </w:r>
    </w:p>
    <w:p w14:paraId="4C387FF6">
      <w:pPr>
        <w:spacing w:after="80"/>
      </w:pPr>
      <w:r>
        <w:rPr>
          <w:rFonts w:ascii="Calibri" w:hAnsi="Calibri"/>
          <w:b/>
          <w:sz w:val="21"/>
        </w:rPr>
        <w:t>1. Bảng đánh giá rủi ro &amp; Nguyên nhân gốc rễ cho từng hạng mục tài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4D8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1F4E78"/>
          </w:tcPr>
          <w:p w14:paraId="0C1C577D">
            <w:pPr>
              <w:spacing w:after="0" w:line="240" w:lineRule="auto"/>
            </w:pPr>
            <w:r>
              <w:rPr>
                <w:rFonts w:ascii="Arial" w:hAnsi="Arial"/>
                <w:b/>
                <w:color w:val="FFFFFF"/>
                <w:sz w:val="19"/>
              </w:rPr>
              <w:t>Hạng mục tài liệu</w:t>
            </w:r>
          </w:p>
        </w:tc>
        <w:tc>
          <w:tcPr>
            <w:tcW w:w="2340" w:type="dxa"/>
            <w:shd w:val="clear" w:color="auto" w:fill="1F4E78"/>
          </w:tcPr>
          <w:p w14:paraId="7D137A0F">
            <w:pPr>
              <w:spacing w:after="0" w:line="240" w:lineRule="auto"/>
            </w:pPr>
            <w:r>
              <w:rPr>
                <w:rFonts w:ascii="Arial" w:hAnsi="Arial"/>
                <w:b/>
                <w:color w:val="FFFFFF"/>
                <w:sz w:val="19"/>
              </w:rPr>
              <w:t>Mức rủi ro (%)</w:t>
            </w:r>
          </w:p>
        </w:tc>
        <w:tc>
          <w:tcPr>
            <w:tcW w:w="2340" w:type="dxa"/>
            <w:shd w:val="clear" w:color="auto" w:fill="1F4E78"/>
          </w:tcPr>
          <w:p w14:paraId="1EFCB837">
            <w:pPr>
              <w:spacing w:after="0" w:line="240" w:lineRule="auto"/>
            </w:pPr>
            <w:r>
              <w:rPr>
                <w:rFonts w:ascii="Arial" w:hAnsi="Arial"/>
                <w:b/>
                <w:color w:val="FFFFFF"/>
                <w:sz w:val="19"/>
              </w:rPr>
              <w:t>Nguyên nhân gốc rễ</w:t>
            </w:r>
          </w:p>
        </w:tc>
        <w:tc>
          <w:tcPr>
            <w:tcW w:w="2340" w:type="dxa"/>
            <w:shd w:val="clear" w:color="auto" w:fill="1F4E78"/>
          </w:tcPr>
          <w:p w14:paraId="48906800">
            <w:pPr>
              <w:spacing w:after="0" w:line="240" w:lineRule="auto"/>
            </w:pPr>
            <w:r>
              <w:rPr>
                <w:rFonts w:ascii="Arial" w:hAnsi="Arial"/>
                <w:b/>
                <w:color w:val="FFFFFF"/>
                <w:sz w:val="19"/>
              </w:rPr>
              <w:t>Xếp loại</w:t>
            </w:r>
          </w:p>
        </w:tc>
      </w:tr>
      <w:tr w14:paraId="61299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AFB"/>
          </w:tcPr>
          <w:p w14:paraId="56EB733D">
            <w:pPr>
              <w:spacing w:after="0" w:line="240" w:lineRule="auto"/>
            </w:pPr>
            <w:r>
              <w:rPr>
                <w:rFonts w:ascii="Calibri" w:hAnsi="Calibri"/>
                <w:sz w:val="19"/>
              </w:rPr>
              <w:t>Business Plan</w:t>
            </w:r>
          </w:p>
        </w:tc>
        <w:tc>
          <w:tcPr>
            <w:tcW w:w="2340" w:type="dxa"/>
            <w:shd w:val="clear" w:color="auto" w:fill="F9FAFB"/>
          </w:tcPr>
          <w:p w14:paraId="30C9609D">
            <w:pPr>
              <w:spacing w:after="0" w:line="240" w:lineRule="auto"/>
            </w:pPr>
            <w:r>
              <w:rPr>
                <w:rFonts w:ascii="Calibri" w:hAnsi="Calibri"/>
                <w:sz w:val="19"/>
              </w:rPr>
              <w:t>100%</w:t>
            </w:r>
          </w:p>
        </w:tc>
        <w:tc>
          <w:tcPr>
            <w:tcW w:w="2340" w:type="dxa"/>
            <w:shd w:val="clear" w:color="auto" w:fill="F9FAFB"/>
          </w:tcPr>
          <w:p w14:paraId="0A2AADE5">
            <w:pPr>
              <w:spacing w:after="0" w:line="240" w:lineRule="auto"/>
            </w:pPr>
            <w:r>
              <w:rPr>
                <w:rFonts w:ascii="Calibri" w:hAnsi="Calibri"/>
                <w:sz w:val="19"/>
              </w:rPr>
              <w:t>Lưu độc nhất trên ổ cứng máy tính cá nhân, không sao lưu dự phòng (Single Point of Failure).</w:t>
            </w:r>
          </w:p>
        </w:tc>
        <w:tc>
          <w:tcPr>
            <w:tcW w:w="2340" w:type="dxa"/>
            <w:shd w:val="clear" w:color="auto" w:fill="F9FAFB"/>
          </w:tcPr>
          <w:p w14:paraId="0953D3D0">
            <w:pPr>
              <w:spacing w:after="0" w:line="240" w:lineRule="auto"/>
            </w:pPr>
            <w:r>
              <w:rPr>
                <w:rFonts w:ascii="Calibri" w:hAnsi="Calibri"/>
                <w:sz w:val="19"/>
              </w:rPr>
              <w:t>Công nghệ</w:t>
            </w:r>
          </w:p>
        </w:tc>
      </w:tr>
      <w:tr w14:paraId="2995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FFF"/>
          </w:tcPr>
          <w:p w14:paraId="10D84C6E">
            <w:pPr>
              <w:spacing w:after="0" w:line="240" w:lineRule="auto"/>
            </w:pPr>
            <w:r>
              <w:rPr>
                <w:rFonts w:ascii="Calibri" w:hAnsi="Calibri"/>
                <w:sz w:val="19"/>
              </w:rPr>
              <w:t>Mã nguồn giao diện</w:t>
            </w:r>
          </w:p>
        </w:tc>
        <w:tc>
          <w:tcPr>
            <w:tcW w:w="2340" w:type="dxa"/>
            <w:shd w:val="clear" w:color="auto" w:fill="FFFFFF"/>
          </w:tcPr>
          <w:p w14:paraId="0D461B3D">
            <w:pPr>
              <w:spacing w:after="0" w:line="240" w:lineRule="auto"/>
            </w:pPr>
            <w:r>
              <w:rPr>
                <w:rFonts w:ascii="Calibri" w:hAnsi="Calibri"/>
                <w:sz w:val="19"/>
              </w:rPr>
              <w:t>70%</w:t>
            </w:r>
          </w:p>
        </w:tc>
        <w:tc>
          <w:tcPr>
            <w:tcW w:w="2340" w:type="dxa"/>
            <w:shd w:val="clear" w:color="auto" w:fill="FFFFFF"/>
          </w:tcPr>
          <w:p w14:paraId="15155D50">
            <w:pPr>
              <w:spacing w:after="0" w:line="240" w:lineRule="auto"/>
            </w:pPr>
            <w:r>
              <w:rPr>
                <w:rFonts w:ascii="Calibri" w:hAnsi="Calibri"/>
                <w:sz w:val="19"/>
              </w:rPr>
              <w:t>Lưu trên USB dễ thất lạc, va đập vật lý hỏng chip, không dùng hệ thống Git.</w:t>
            </w:r>
          </w:p>
        </w:tc>
        <w:tc>
          <w:tcPr>
            <w:tcW w:w="2340" w:type="dxa"/>
            <w:shd w:val="clear" w:color="auto" w:fill="FFFFFF"/>
          </w:tcPr>
          <w:p w14:paraId="69AAB2BB">
            <w:pPr>
              <w:spacing w:after="0" w:line="240" w:lineRule="auto"/>
            </w:pPr>
            <w:r>
              <w:rPr>
                <w:rFonts w:ascii="Calibri" w:hAnsi="Calibri"/>
                <w:sz w:val="19"/>
              </w:rPr>
              <w:t>Công nghệ</w:t>
            </w:r>
          </w:p>
        </w:tc>
      </w:tr>
      <w:tr w14:paraId="23F7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AFB"/>
          </w:tcPr>
          <w:p w14:paraId="08AEA326">
            <w:pPr>
              <w:spacing w:after="0" w:line="240" w:lineRule="auto"/>
            </w:pPr>
            <w:r>
              <w:rPr>
                <w:rFonts w:ascii="Calibri" w:hAnsi="Calibri"/>
                <w:sz w:val="19"/>
              </w:rPr>
              <w:t>Database test user</w:t>
            </w:r>
          </w:p>
        </w:tc>
        <w:tc>
          <w:tcPr>
            <w:tcW w:w="2340" w:type="dxa"/>
            <w:shd w:val="clear" w:color="auto" w:fill="F9FAFB"/>
          </w:tcPr>
          <w:p w14:paraId="11C7CF9E">
            <w:pPr>
              <w:spacing w:after="0" w:line="240" w:lineRule="auto"/>
            </w:pPr>
            <w:r>
              <w:rPr>
                <w:rFonts w:ascii="Calibri" w:hAnsi="Calibri"/>
                <w:sz w:val="19"/>
              </w:rPr>
              <w:t>80%</w:t>
            </w:r>
          </w:p>
        </w:tc>
        <w:tc>
          <w:tcPr>
            <w:tcW w:w="2340" w:type="dxa"/>
            <w:shd w:val="clear" w:color="auto" w:fill="F9FAFB"/>
          </w:tcPr>
          <w:p w14:paraId="7AA58F95">
            <w:pPr>
              <w:spacing w:after="0" w:line="240" w:lineRule="auto"/>
            </w:pPr>
            <w:r>
              <w:rPr>
                <w:rFonts w:ascii="Calibri" w:hAnsi="Calibri"/>
                <w:sz w:val="19"/>
              </w:rPr>
              <w:t>Không đồng bộ định kỳ, chia sẻ thủ công ngắt quãng gây lệch dữ liệu.</w:t>
            </w:r>
          </w:p>
        </w:tc>
        <w:tc>
          <w:tcPr>
            <w:tcW w:w="2340" w:type="dxa"/>
            <w:shd w:val="clear" w:color="auto" w:fill="F9FAFB"/>
          </w:tcPr>
          <w:p w14:paraId="6B54E19F">
            <w:pPr>
              <w:spacing w:after="0" w:line="240" w:lineRule="auto"/>
            </w:pPr>
            <w:r>
              <w:rPr>
                <w:rFonts w:ascii="Calibri" w:hAnsi="Calibri"/>
                <w:sz w:val="19"/>
              </w:rPr>
              <w:t>Cơ cấu tổ chức</w:t>
            </w:r>
          </w:p>
        </w:tc>
      </w:tr>
      <w:tr w14:paraId="4410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FFFFF"/>
          </w:tcPr>
          <w:p w14:paraId="13CEFA13">
            <w:pPr>
              <w:spacing w:after="0" w:line="240" w:lineRule="auto"/>
            </w:pPr>
            <w:r>
              <w:rPr>
                <w:rFonts w:ascii="Calibri" w:hAnsi="Calibri"/>
                <w:sz w:val="19"/>
              </w:rPr>
              <w:t>Slide Pitch</w:t>
            </w:r>
          </w:p>
        </w:tc>
        <w:tc>
          <w:tcPr>
            <w:tcW w:w="2340" w:type="dxa"/>
            <w:shd w:val="clear" w:color="auto" w:fill="FFFFFF"/>
          </w:tcPr>
          <w:p w14:paraId="13615611">
            <w:pPr>
              <w:spacing w:after="0" w:line="240" w:lineRule="auto"/>
            </w:pPr>
            <w:r>
              <w:rPr>
                <w:rFonts w:ascii="Calibri" w:hAnsi="Calibri"/>
                <w:sz w:val="19"/>
              </w:rPr>
              <w:t>40%</w:t>
            </w:r>
          </w:p>
        </w:tc>
        <w:tc>
          <w:tcPr>
            <w:tcW w:w="2340" w:type="dxa"/>
            <w:shd w:val="clear" w:color="auto" w:fill="FFFFFF"/>
          </w:tcPr>
          <w:p w14:paraId="5F3BA07E">
            <w:pPr>
              <w:spacing w:after="0" w:line="240" w:lineRule="auto"/>
            </w:pPr>
            <w:r>
              <w:rPr>
                <w:rFonts w:ascii="Calibri" w:hAnsi="Calibri"/>
                <w:sz w:val="19"/>
              </w:rPr>
              <w:t>Lưu cloud Zalo nhưng vi phạm chuẩn đặt tên, không xác định bản mới nhất.</w:t>
            </w:r>
          </w:p>
        </w:tc>
        <w:tc>
          <w:tcPr>
            <w:tcW w:w="2340" w:type="dxa"/>
            <w:shd w:val="clear" w:color="auto" w:fill="FFFFFF"/>
          </w:tcPr>
          <w:p w14:paraId="2BC7897A">
            <w:pPr>
              <w:spacing w:after="0" w:line="240" w:lineRule="auto"/>
            </w:pPr>
            <w:r>
              <w:rPr>
                <w:rFonts w:ascii="Calibri" w:hAnsi="Calibri"/>
                <w:sz w:val="19"/>
              </w:rPr>
              <w:t>Cơ cấu tổ chức</w:t>
            </w:r>
          </w:p>
        </w:tc>
      </w:tr>
      <w:tr w14:paraId="09F52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shd w:val="clear" w:color="auto" w:fill="F9FAFB"/>
          </w:tcPr>
          <w:p w14:paraId="60C919D3">
            <w:pPr>
              <w:spacing w:after="0" w:line="240" w:lineRule="auto"/>
            </w:pPr>
            <w:r>
              <w:rPr>
                <w:rFonts w:ascii="Calibri" w:hAnsi="Calibri"/>
                <w:sz w:val="19"/>
              </w:rPr>
              <w:t>Tài liệu SRS</w:t>
            </w:r>
          </w:p>
        </w:tc>
        <w:tc>
          <w:tcPr>
            <w:tcW w:w="2340" w:type="dxa"/>
            <w:shd w:val="clear" w:color="auto" w:fill="F9FAFB"/>
          </w:tcPr>
          <w:p w14:paraId="40CF50A5">
            <w:pPr>
              <w:spacing w:after="0" w:line="240" w:lineRule="auto"/>
            </w:pPr>
            <w:r>
              <w:rPr>
                <w:rFonts w:ascii="Calibri" w:hAnsi="Calibri"/>
                <w:sz w:val="19"/>
              </w:rPr>
              <w:t>50%</w:t>
            </w:r>
          </w:p>
        </w:tc>
        <w:tc>
          <w:tcPr>
            <w:tcW w:w="2340" w:type="dxa"/>
            <w:shd w:val="clear" w:color="auto" w:fill="F9FAFB"/>
          </w:tcPr>
          <w:p w14:paraId="25C6FDC3">
            <w:pPr>
              <w:spacing w:after="0" w:line="240" w:lineRule="auto"/>
            </w:pPr>
            <w:r>
              <w:rPr>
                <w:rFonts w:ascii="Calibri" w:hAnsi="Calibri"/>
                <w:sz w:val="19"/>
              </w:rPr>
              <w:t>Gửi đính kèm Email phân rã, phân tán lịch sử sửa đổi.</w:t>
            </w:r>
          </w:p>
        </w:tc>
        <w:tc>
          <w:tcPr>
            <w:tcW w:w="2340" w:type="dxa"/>
            <w:shd w:val="clear" w:color="auto" w:fill="F9FAFB"/>
          </w:tcPr>
          <w:p w14:paraId="2F43EAF6">
            <w:pPr>
              <w:spacing w:after="0" w:line="240" w:lineRule="auto"/>
            </w:pPr>
            <w:r>
              <w:rPr>
                <w:rFonts w:ascii="Calibri" w:hAnsi="Calibri"/>
                <w:sz w:val="19"/>
              </w:rPr>
              <w:t>Cơ cấu tổ chức</w:t>
            </w:r>
          </w:p>
        </w:tc>
      </w:tr>
    </w:tbl>
    <w:p w14:paraId="49C1AAE8">
      <w:pPr>
        <w:spacing w:before="120"/>
      </w:pPr>
    </w:p>
    <w:p w14:paraId="6E6815B0">
      <w:pPr>
        <w:spacing w:after="80"/>
      </w:pPr>
      <w:r>
        <w:rPr>
          <w:rFonts w:ascii="Calibri" w:hAnsi="Calibri"/>
          <w:b/>
          <w:sz w:val="21"/>
        </w:rPr>
        <w:t>2. Hiện tượng '23 phiên bản file tồn tại trên nhiều thiết bị':</w:t>
      </w:r>
      <w:r>
        <w:rPr>
          <w:rFonts w:ascii="Calibri" w:hAnsi="Calibri"/>
          <w:b/>
          <w:sz w:val="21"/>
        </w:rPr>
        <w:br w:type="textWrapping"/>
      </w:r>
    </w:p>
    <w:p w14:paraId="0DD596B6">
      <w:pPr>
        <w:spacing w:after="80"/>
        <w:ind w:left="288"/>
      </w:pPr>
      <w:r>
        <w:rPr>
          <w:rFonts w:ascii="Calibri" w:hAnsi="Calibri"/>
          <w:b/>
          <w:sz w:val="20"/>
        </w:rPr>
        <w:t xml:space="preserve">• Tên gọi kỹ thuật: </w:t>
      </w:r>
      <w:r>
        <w:rPr>
          <w:rFonts w:ascii="Calibri" w:hAnsi="Calibri"/>
          <w:sz w:val="20"/>
        </w:rPr>
        <w:t>Trôi dạt phiên bản / Mất kiểm soát phiên bản (Version Drift / Version Proliferation) và Xung đột bất đồng bộ (Asynchronous Conflict).</w:t>
      </w:r>
    </w:p>
    <w:p w14:paraId="7986B69A">
      <w:pPr>
        <w:spacing w:after="80"/>
        <w:ind w:left="288"/>
      </w:pPr>
      <w:r>
        <w:rPr>
          <w:rFonts w:ascii="Calibri" w:hAnsi="Calibri"/>
          <w:b/>
          <w:sz w:val="20"/>
        </w:rPr>
        <w:t xml:space="preserve">• Nguyên nhân: </w:t>
      </w:r>
      <w:r>
        <w:rPr>
          <w:rFonts w:ascii="Calibri" w:hAnsi="Calibri"/>
          <w:sz w:val="20"/>
        </w:rPr>
        <w:t>Do quy trình làm việc thủ công (Download -&gt; Edit -&gt; Rename -&gt; Re-upload via Zalo). Thiếu một kho lưu trữ trung tâm (Single Source of Truth - SSOT) có tính năng tự động ghi nhận lịch sử (Version History).</w:t>
      </w:r>
    </w:p>
    <w:p w14:paraId="69F3462E">
      <w:pPr>
        <w:spacing w:after="200"/>
        <w:ind w:left="288"/>
      </w:pPr>
      <w:r>
        <w:rPr>
          <w:rFonts w:ascii="Calibri" w:hAnsi="Calibri"/>
          <w:b/>
          <w:sz w:val="20"/>
        </w:rPr>
        <w:t xml:space="preserve">• Hậu quả thực tế: </w:t>
      </w:r>
      <w:r>
        <w:rPr>
          <w:rFonts w:ascii="Calibri" w:hAnsi="Calibri"/>
          <w:sz w:val="20"/>
        </w:rPr>
        <w:t>Ghi đè làm mất dữ liệu quan trọng của đồng nghiệp; tốn nhiều thời gian hợp nhất (merge) code/tài liệu; sử dụng nhầm dữ liệu cũ khi pitching làm giảm uy tín dự án.</w:t>
      </w:r>
    </w:p>
    <w:p w14:paraId="6EB25DAC">
      <w:pPr>
        <w:spacing w:before="200" w:after="80"/>
      </w:pPr>
      <w:r>
        <w:rPr>
          <w:rFonts w:ascii="Arial" w:hAnsi="Arial"/>
          <w:b/>
          <w:color w:val="1F4E78"/>
          <w:sz w:val="24"/>
        </w:rPr>
        <w:t>PHẦN 2: THIẾT KẾ HYBRID WORKFLOW &amp; BẪY DỮ LIỆU</w:t>
      </w:r>
    </w:p>
    <w:p w14:paraId="2C901A67">
      <w:pPr>
        <w:spacing w:after="80"/>
      </w:pPr>
      <w:r>
        <w:rPr>
          <w:rFonts w:ascii="Calibri" w:hAnsi="Calibri"/>
          <w:b/>
          <w:sz w:val="21"/>
        </w:rPr>
        <w:t>3. Thiết kế Quy trình Hybrid Workflow cho CampusPay:</w:t>
      </w:r>
    </w:p>
    <w:tbl>
      <w:tblPr>
        <w:tblStyle w:val="12"/>
        <w:tblW w:w="0" w:type="auto"/>
        <w:jc w:val="center"/>
        <w:tblLayout w:type="autofit"/>
        <w:tblCellMar>
          <w:top w:w="0" w:type="dxa"/>
          <w:left w:w="108" w:type="dxa"/>
          <w:bottom w:w="0" w:type="dxa"/>
          <w:right w:w="108" w:type="dxa"/>
        </w:tblCellMar>
      </w:tblPr>
      <w:tblGrid>
        <w:gridCol w:w="9360"/>
      </w:tblGrid>
      <w:tr w14:paraId="6A25B0AA">
        <w:tblPrEx>
          <w:tblCellMar>
            <w:top w:w="0" w:type="dxa"/>
            <w:left w:w="108" w:type="dxa"/>
            <w:bottom w:w="0" w:type="dxa"/>
            <w:right w:w="108" w:type="dxa"/>
          </w:tblCellMar>
        </w:tblPrEx>
        <w:trPr>
          <w:jc w:val="center"/>
        </w:trPr>
        <w:tc>
          <w:tcPr>
            <w:tcW w:w="9360" w:type="dxa"/>
            <w:tcBorders>
              <w:top w:val="nil"/>
              <w:left w:val="single" w:color="1F4E78" w:sz="36" w:space="0"/>
              <w:bottom w:val="nil"/>
              <w:right w:val="nil"/>
            </w:tcBorders>
            <w:shd w:val="clear" w:color="auto" w:fill="F2F4F7"/>
            <w:tcMar>
              <w:top w:w="100" w:type="dxa"/>
              <w:left w:w="150" w:type="dxa"/>
              <w:bottom w:w="100" w:type="dxa"/>
              <w:right w:w="150" w:type="dxa"/>
            </w:tcMar>
          </w:tcPr>
          <w:p w14:paraId="3B32C1B7">
            <w:pPr>
              <w:spacing w:after="40"/>
            </w:pPr>
            <w:r>
              <w:rPr>
                <w:rFonts w:ascii="Consolas" w:hAnsi="Consolas"/>
                <w:b/>
                <w:color w:val="1F4E78"/>
                <w:sz w:val="19"/>
              </w:rPr>
              <w:t>[Máy Local (SSD ~3000MB/s)] ──(Thao tác Ctrl+S)──&gt; [Auto Sync Client] ──(Đồng bộ ngầm)──&gt; [Cloud Storage (Google Drive / OneDrive)]</w:t>
            </w:r>
          </w:p>
        </w:tc>
      </w:tr>
    </w:tbl>
    <w:p w14:paraId="647C02DF">
      <w:pPr>
        <w:spacing w:before="80"/>
      </w:pPr>
    </w:p>
    <w:p w14:paraId="0F50864D">
      <w:pPr>
        <w:spacing w:after="160"/>
        <w:ind w:left="144"/>
      </w:pPr>
      <w:r>
        <w:rPr>
          <w:rFonts w:ascii="Calibri" w:hAnsi="Calibri"/>
          <w:sz w:val="20"/>
        </w:rPr>
        <w:t>• Phần mềm đề xuất: Google Drive for Desktop hoặc OneDrive App.</w:t>
      </w:r>
      <w:r>
        <w:rPr>
          <w:rFonts w:ascii="Calibri" w:hAnsi="Calibri"/>
          <w:sz w:val="20"/>
        </w:rPr>
        <w:br w:type="textWrapping"/>
      </w:r>
      <w:r>
        <w:rPr>
          <w:rFonts w:ascii="Calibri" w:hAnsi="Calibri"/>
          <w:sz w:val="20"/>
        </w:rPr>
        <w:t>• Bước 1 (Local): Làm việc trực tiếp trên file lưu ở ổ đĩa nội bộ (tốc độ SSD ~3000MB/s).</w:t>
      </w:r>
      <w:r>
        <w:rPr>
          <w:rFonts w:ascii="Calibri" w:hAnsi="Calibri"/>
          <w:sz w:val="20"/>
        </w:rPr>
        <w:br w:type="textWrapping"/>
      </w:r>
      <w:r>
        <w:rPr>
          <w:rFonts w:ascii="Calibri" w:hAnsi="Calibri"/>
          <w:sz w:val="20"/>
        </w:rPr>
        <w:t>• Bước 2 (Auto Sync): Bật tính năng 'Files On-Demand' + Tự động đồng bộ mỗi khi bấm Ctrl+S.</w:t>
      </w:r>
      <w:r>
        <w:rPr>
          <w:rFonts w:ascii="Calibri" w:hAnsi="Calibri"/>
          <w:sz w:val="20"/>
        </w:rPr>
        <w:br w:type="textWrapping"/>
      </w:r>
      <w:r>
        <w:rPr>
          <w:rFonts w:ascii="Calibri" w:hAnsi="Calibri"/>
          <w:sz w:val="20"/>
        </w:rPr>
        <w:t>• Bước 3 (Cloud): Đẩy dữ liệu lên Cloud trung tâm, lưu lịch sử phiên bản để phục hồi 1-click.</w:t>
      </w:r>
      <w:r>
        <w:rPr>
          <w:rFonts w:ascii="Calibri" w:hAnsi="Calibri"/>
          <w:sz w:val="20"/>
        </w:rPr>
        <w:br w:type="textWrapping"/>
      </w:r>
      <w:r>
        <w:rPr>
          <w:rFonts w:ascii="Calibri" w:hAnsi="Calibri"/>
          <w:sz w:val="20"/>
        </w:rPr>
        <w:t>• Phân loại thư mục đồng bộ:</w:t>
      </w:r>
      <w:r>
        <w:rPr>
          <w:rFonts w:ascii="Calibri" w:hAnsi="Calibri"/>
          <w:sz w:val="20"/>
        </w:rPr>
        <w:br w:type="textWrapping"/>
      </w:r>
      <w:r>
        <w:rPr>
          <w:rFonts w:ascii="Calibri" w:hAnsi="Calibri"/>
          <w:sz w:val="20"/>
        </w:rPr>
        <w:t xml:space="preserve">  - THƯ MỤC SYNC: D:/CampusPay_Project/ (Chứa Plan, Source code, Testcases, Slides, SRS).</w:t>
      </w:r>
      <w:r>
        <w:rPr>
          <w:rFonts w:ascii="Calibri" w:hAnsi="Calibri"/>
          <w:sz w:val="20"/>
        </w:rPr>
        <w:br w:type="textWrapping"/>
      </w:r>
      <w:r>
        <w:rPr>
          <w:rFonts w:ascii="Calibri" w:hAnsi="Calibri"/>
          <w:sz w:val="20"/>
        </w:rPr>
        <w:t xml:space="preserve">  - THƯ MỤC KHÔNG SYNC: D:/Games/, D:/Movies/, D:/Downloads/ (Để tiết kiệm dung lượng Cloud &amp; băng thông).</w:t>
      </w:r>
    </w:p>
    <w:p w14:paraId="21B6F272">
      <w:pPr>
        <w:spacing w:after="80"/>
      </w:pPr>
      <w:r>
        <w:rPr>
          <w:rFonts w:ascii="Calibri" w:hAnsi="Calibri"/>
          <w:b/>
          <w:sz w:val="21"/>
        </w:rPr>
        <w:t>4. Xử lý 'Bẫy dữ liệu' khi gập máy đột ngột:</w:t>
      </w:r>
    </w:p>
    <w:tbl>
      <w:tblPr>
        <w:tblStyle w:val="12"/>
        <w:tblW w:w="0" w:type="auto"/>
        <w:jc w:val="center"/>
        <w:tblLayout w:type="autofit"/>
        <w:tblCellMar>
          <w:top w:w="0" w:type="dxa"/>
          <w:left w:w="108" w:type="dxa"/>
          <w:bottom w:w="0" w:type="dxa"/>
          <w:right w:w="108" w:type="dxa"/>
        </w:tblCellMar>
      </w:tblPr>
      <w:tblGrid>
        <w:gridCol w:w="9360"/>
      </w:tblGrid>
      <w:tr w14:paraId="5F8F3766">
        <w:tblPrEx>
          <w:tblCellMar>
            <w:top w:w="0" w:type="dxa"/>
            <w:left w:w="108" w:type="dxa"/>
            <w:bottom w:w="0" w:type="dxa"/>
            <w:right w:w="108" w:type="dxa"/>
          </w:tblCellMar>
        </w:tblPrEx>
        <w:trPr>
          <w:jc w:val="center"/>
        </w:trPr>
        <w:tc>
          <w:tcPr>
            <w:tcW w:w="9360" w:type="dxa"/>
            <w:tcBorders>
              <w:top w:val="nil"/>
              <w:left w:val="single" w:color="2E75B6" w:sz="36" w:space="0"/>
              <w:bottom w:val="nil"/>
              <w:right w:val="nil"/>
            </w:tcBorders>
            <w:shd w:val="clear" w:color="auto" w:fill="EBF1F5"/>
            <w:tcMar>
              <w:top w:w="120" w:type="dxa"/>
              <w:left w:w="180" w:type="dxa"/>
              <w:bottom w:w="120" w:type="dxa"/>
              <w:right w:w="180" w:type="dxa"/>
            </w:tcMar>
          </w:tcPr>
          <w:p w14:paraId="3EB50D2C">
            <w:pPr>
              <w:spacing w:after="40"/>
            </w:pPr>
            <w:bookmarkStart w:id="0" w:name="_GoBack"/>
            <w:bookmarkEnd w:id="0"/>
            <w:r>
              <w:rPr>
                <w:rFonts w:ascii="Arial" w:hAnsi="Arial"/>
                <w:b/>
                <w:color w:val="1F4E78"/>
                <w:sz w:val="20"/>
              </w:rPr>
              <w:t>Biểu hiện hệ thống &amp; Thao tác bắt buộc:</w:t>
            </w:r>
          </w:p>
          <w:p w14:paraId="6A80C4CE">
            <w:pPr>
              <w:spacing w:after="0"/>
            </w:pPr>
            <w:r>
              <w:rPr>
                <w:rFonts w:ascii="Calibri" w:hAnsi="Calibri"/>
                <w:sz w:val="19"/>
              </w:rPr>
              <w:t>• Biểu hiện biểu tượng: Biểu tượng trạng thái trên File Explorer hiển thị 'Syncing' (vòng xoay màu xanh 🔄 hoặc mây xanh đang tải).</w:t>
            </w:r>
            <w:r>
              <w:rPr>
                <w:rFonts w:ascii="Calibri" w:hAnsi="Calibri"/>
                <w:sz w:val="19"/>
              </w:rPr>
              <w:br w:type="textWrapping"/>
            </w:r>
            <w:r>
              <w:rPr>
                <w:rFonts w:ascii="Calibri" w:hAnsi="Calibri"/>
                <w:sz w:val="19"/>
              </w:rPr>
              <w:t>• Xử lý của hệ thống: Khi gập máy đột ngột, tiến trình đồng bộ bị ngắt giữa chừng. File trên Cloud giữ nguyên phiên bản cũ, dẫn đến các thành viên khác không thấy nội dung mới.</w:t>
            </w:r>
            <w:r>
              <w:rPr>
                <w:rFonts w:ascii="Calibri" w:hAnsi="Calibri"/>
                <w:sz w:val="19"/>
              </w:rPr>
              <w:br w:type="textWrapping"/>
            </w:r>
            <w:r>
              <w:rPr>
                <w:rFonts w:ascii="Calibri" w:hAnsi="Calibri"/>
                <w:sz w:val="19"/>
              </w:rPr>
              <w:t>• Thao tác kiểm tra bắt buộc: Thành viên chỉ gập máy khi thấy biểu tượng trạng thái chuyển sang 'Synced' (Dấu tích xanh 🟢 / Cloud tích xanh ☁️✅). Kiểm tra nhanh góc Taskbar icon trước khi đóng laptop.</w:t>
            </w:r>
          </w:p>
        </w:tc>
      </w:tr>
    </w:tbl>
    <w:p w14:paraId="7C9F046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8845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611</Words>
  <Characters>2406</Characters>
  <Lines>0</Lines>
  <Paragraphs>0</Paragraphs>
  <TotalTime>0</TotalTime>
  <ScaleCrop>false</ScaleCrop>
  <LinksUpToDate>false</LinksUpToDate>
  <CharactersWithSpaces>2972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Nguyen Lion</cp:lastModifiedBy>
  <dcterms:modified xsi:type="dcterms:W3CDTF">2026-10-18T13:27:03Z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eyJoZGlkIjoiODdjZjI4NWJhYTAwMmM3ZDUxMWYyZGM0YjMzNzk5NjQiLCJ1c2VySWQiOiI4ODEzOTY3NjM4Njk0In0=</vt:lpwstr>
  </property>
  <property fmtid="{D5CDD505-2E9C-101B-9397-08002B2CF9AE}" pid="3" name="KSOProductBuildVer">
    <vt:lpwstr>1033-12.1.0.29162</vt:lpwstr>
  </property>
  <property fmtid="{D5CDD505-2E9C-101B-9397-08002B2CF9AE}" pid="4" name="ICV">
    <vt:lpwstr>E83D9259528B493098E4D82217ACF294_12</vt:lpwstr>
  </property>
</Properties>
</file>