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BÁO CÁO PHÂN TÍCH: TỐI ƯU HÓA TOKEN &amp; TRẢI NGHIỆM VỚI MARKDOWN TRONG HỆ THỐNG AI NÔNG NGHIỆP</w:t>
      </w:r>
    </w:p>
    <w:p>
      <w:pPr>
        <w:pStyle w:val="Heading1"/>
      </w:pPr>
      <w:r>
        <w:t>Phần 1. Phân tích bài toán: Cơ chế Token và Markdown</w:t>
      </w:r>
    </w:p>
    <w:p>
      <w:r>
        <w:t>Trong các hệ thống trợ lý AI, văn bản được phân tách thành các đơn vị nhỏ gọi là token trước khi đưa vào mô hình ngôn ngữ lớn (LLM). HTML chứa quá nhiều thẻ rác (tag soup) như &lt;div&gt;, &lt;span&gt;, class, style,... làm lãng phí nghiêm trọng số lượng token đầu vào và đầu ra. Ngược lại, Markdown sử dụng các ký tự cú pháp tối giản (như *, #, -), giúp bộ Tokenizer của AI chia nhỏ văn bản thành ít token hơn đáng kể. Việc giảm số lượng token này không chỉ giúp tiết kiệm trực tiếp chi phí API mà còn giảm độ trễ (latency), giúp AI phản hồi nhanh hơn cho người nông dân.</w:t>
      </w:r>
    </w:p>
    <w:p>
      <w:pPr>
        <w:pStyle w:val="Heading1"/>
      </w:pPr>
      <w:r>
        <w:t>Phần 2. So sánh &amp; Đánh giá (Markdown vs. HTML)</w:t>
      </w:r>
    </w:p>
    <w:tbl>
      <w:tblPr>
        <w:tblStyle w:val="TableGrid"/>
        <w:tblW w:type="auto" w:w="0"/>
        <w:tblLook w:firstColumn="1" w:firstRow="1" w:lastColumn="0" w:lastRow="0" w:noHBand="0" w:noVBand="1" w:val="04A0"/>
      </w:tblPr>
      <w:tblGrid>
        <w:gridCol w:w="2880"/>
        <w:gridCol w:w="2880"/>
        <w:gridCol w:w="2880"/>
      </w:tblGrid>
      <w:tr>
        <w:tc>
          <w:tcPr>
            <w:tcW w:type="dxa" w:w="2880"/>
          </w:tcPr>
          <w:p>
            <w:r>
              <w:t>Tiêu chí</w:t>
            </w:r>
          </w:p>
        </w:tc>
        <w:tc>
          <w:tcPr>
            <w:tcW w:type="dxa" w:w="2880"/>
          </w:tcPr>
          <w:p>
            <w:r>
              <w:t>Markdown</w:t>
            </w:r>
          </w:p>
        </w:tc>
        <w:tc>
          <w:tcPr>
            <w:tcW w:type="dxa" w:w="2880"/>
          </w:tcPr>
          <w:p>
            <w:r>
              <w:t>HTML</w:t>
            </w:r>
          </w:p>
        </w:tc>
      </w:tr>
      <w:tr>
        <w:tc>
          <w:tcPr>
            <w:tcW w:type="dxa" w:w="2880"/>
          </w:tcPr>
          <w:p>
            <w:r>
              <w:t>Số lượng Token / Ký tự định dạng</w:t>
            </w:r>
          </w:p>
        </w:tc>
        <w:tc>
          <w:tcPr>
            <w:tcW w:type="dxa" w:w="2880"/>
          </w:tcPr>
          <w:p>
            <w:r>
              <w:t>Cực kỳ tối ưu (1-2 ký tự cho in đậm/tiêu đề)</w:t>
            </w:r>
          </w:p>
        </w:tc>
        <w:tc>
          <w:tcPr>
            <w:tcW w:type="dxa" w:w="2880"/>
          </w:tcPr>
          <w:p>
            <w:r>
              <w:t>Rất cao (tốn token cho thẻ đóng/mở và thuộc tính)</w:t>
            </w:r>
          </w:p>
        </w:tc>
      </w:tr>
      <w:tr>
        <w:tc>
          <w:tcPr>
            <w:tcW w:type="dxa" w:w="2880"/>
          </w:tcPr>
          <w:p>
            <w:r>
              <w:t>Tính "Human-readable" (Độ dễ đọc)</w:t>
            </w:r>
          </w:p>
        </w:tc>
        <w:tc>
          <w:tcPr>
            <w:tcW w:type="dxa" w:w="2880"/>
          </w:tcPr>
          <w:p>
            <w:r>
              <w:t>Rất cao, tự nhiên như văn bản thô, dễ đọc trực tiếp</w:t>
            </w:r>
          </w:p>
        </w:tc>
        <w:tc>
          <w:tcPr>
            <w:tcW w:type="dxa" w:w="2880"/>
          </w:tcPr>
          <w:p>
            <w:r>
              <w:t>Thấp, bị rối mắt bởi các thẻ HTML lồng nhau</w:t>
            </w:r>
          </w:p>
        </w:tc>
      </w:tr>
      <w:tr>
        <w:tc>
          <w:tcPr>
            <w:tcW w:type="dxa" w:w="2880"/>
          </w:tcPr>
          <w:p>
            <w:r>
              <w:t>Hiệu quả xử lý của AI</w:t>
            </w:r>
          </w:p>
        </w:tc>
        <w:tc>
          <w:tcPr>
            <w:tcW w:type="dxa" w:w="2880"/>
          </w:tcPr>
          <w:p>
            <w:r>
              <w:t>Nhanh, tiết kiệm bộ nhớ ngữ cảnh (Context Window)</w:t>
            </w:r>
          </w:p>
        </w:tc>
        <w:tc>
          <w:tcPr>
            <w:tcW w:type="dxa" w:w="2880"/>
          </w:tcPr>
          <w:p>
            <w:r>
              <w:t>Chậm hơn, dễ làm loãng ngữ cảnh quan trọng</w:t>
            </w:r>
          </w:p>
        </w:tc>
      </w:tr>
    </w:tbl>
    <w:p/>
    <w:p>
      <w:pPr>
        <w:pStyle w:val="Heading2"/>
      </w:pPr>
      <w:r>
        <w:t>Giải pháp tối ưu cho hệ thống "GreenTech"</w:t>
      </w:r>
    </w:p>
    <w:p>
      <w:r>
        <w:t>Lựa chọn tối ưu: Hệ thống 'GreenTech' nên sử dụng hoàn toàn Markdown để giao tiếp và lưu trữ nội dung trả lời cho nông dân.</w:t>
        <w:br/>
        <w:br/>
        <w:t>Lập luận:</w:t>
        <w:br/>
        <w:t>1. Tiết kiệm chi phí và tốc độ: Giảm thiểu số lượng token giúp phản hồi nhanh và giảm tải chi phí vận hành AI.</w:t>
        <w:br/>
        <w:t>2. Thân thiện với người dùng: Nông dân có thể dễ dàng đọc được văn bản thô trong trường hợp giao diện chưa kịp render.</w:t>
        <w:br/>
        <w:t>3. Tập trung ngữ cảnh: Giúp AI không bị phân tâm bởi các thẻ mã nguồn rườm rà, tập trung tuyệt đối vào việc tư vấn nông nghiệp chính xác.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