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 (2^16)</w:t>
            </w:r>
          </w:p>
        </w:tc>
        <w:tc>
          <w:tcPr>
            <w:tcW w:type="dxa" w:w="2929"/>
          </w:tcPr>
          <w:p>
            <w:r>
              <w:t>mỗi batch lan truyền lại toàn đồ thị; batch lớn giữ số lần lan truyền ở 24 mỗi epoch</w:t>
            </w:r>
          </w:p>
        </w:tc>
      </w:tr>
      <w:tr>
        <w:tc>
          <w:tcPr>
            <w:tcW w:type="dxa" w:w="2929"/>
          </w:tcPr>
          <w:p>
            <w:r>
              <w:t>learning_rate</w:t>
            </w:r>
          </w:p>
        </w:tc>
        <w:tc>
          <w:tcPr>
            <w:tcW w:type="dxa" w:w="2929"/>
          </w:tcPr>
          <w:p>
            <w:r>
              <w:t>0.005</w:t>
            </w:r>
          </w:p>
        </w:tc>
        <w:tc>
          <w:tcPr>
            <w:tcW w:type="dxa" w:w="2929"/>
          </w:tcPr>
          <w:p>
            <w:r>
              <w:t>đi kèm batch lớn; chưa dò trên dữ liệu đề tài</w:t>
            </w:r>
          </w:p>
        </w:tc>
      </w:tr>
      <w:tr>
        <w:tc>
          <w:tcPr>
            <w:tcW w:type="dxa" w:w="2929"/>
          </w:tcPr>
          <w:p>
            <w:r>
              <w:t>reg_weight</w:t>
            </w:r>
          </w:p>
        </w:tc>
        <w:tc>
          <w:tcPr>
            <w:tcW w:type="dxa" w:w="2929"/>
          </w:tcPr>
          <w:p>
            <w:r>
              <w:t>0.0001</w:t>
            </w:r>
          </w:p>
        </w:tc>
        <w:tc>
          <w:tcPr>
            <w:tcW w:type="dxa" w:w="2929"/>
          </w:tcPr>
          <w:p>
            <w:r>
              <w:t>LightGCN mục 4.1.2, tối ưu trong hầu hết trường hợp</w:t>
            </w:r>
          </w:p>
        </w:tc>
      </w:tr>
      <w:tr>
        <w:tc>
          <w:tcPr>
            <w:tcW w:type="dxa" w:w="2929"/>
          </w:tcPr>
          <w:p>
            <w:r>
              <w:t>loss</w:t>
            </w:r>
          </w:p>
        </w:tc>
        <w:tc>
          <w:tcPr>
            <w:tcW w:type="dxa" w:w="2929"/>
          </w:tcPr>
          <w:p>
            <w:r>
              <w:t>BPR chuẩn, một mẫu âm</w:t>
            </w:r>
          </w:p>
        </w:tc>
        <w:tc>
          <w:tcPr>
            <w:tcW w:type="dxa" w:w="2929"/>
          </w:tcPr>
          <w:p>
            <w:r>
              <w:t>công thức (3.17)</w:t>
            </w:r>
          </w:p>
        </w:tc>
      </w:tr>
      <w:tr>
        <w:tc>
          <w:tcPr>
            <w:tcW w:type="dxa" w:w="2929"/>
          </w:tcPr>
          <w:p>
            <w:r>
              <w:t>num_negatives</w:t>
            </w:r>
          </w:p>
        </w:tc>
        <w:tc>
          <w:tcPr>
            <w:tcW w:type="dxa" w:w="2929"/>
          </w:tcPr>
          <w:p>
            <w:r>
              <w:t>1</w:t>
            </w:r>
          </w:p>
        </w:tc>
        <w:tc>
          <w:tcPr>
            <w:tcW w:type="dxa" w:w="2929"/>
          </w:tcPr>
          <w:p>
            <w:r>
              <w:t>theo BPR gốc, một mẫu âm cho mỗi cặp dương</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Về learning_rate và batch_size, hai giá trị này không lấy từ LightGCN, vốn dùng learning rate 0.001 và mini-batch 1024. Lý do dùng batch lớn nằm ở cấu trúc của vòng lặp huấn luyện: phép lan truyền embedding được thực hiện trên toàn bộ đồ thị ở mỗi batch, nên chi phí của một epoch tỉ lệ với số batch chứ không tỉ lệ với số cặp huấn luyện. Với 1.570.409 cạnh tương tác trên cohort Original, batch 65.536 cho 24 batch mỗi epoch và do đó 24 lần lan truyền toàn đồ thị; batch 1024 sẽ cho 1.534 batch mỗi epoch, tức gấp 64 lần số lần lan truyền.</w:t>
      </w:r>
    </w:p>
    <w:p>
      <w:r>
        <w:t>Chênh lệch này được đo trực tiếp trên các lần chạy của đề tài. Một lần chạy LightGCN trên cohort Original mất 32,1 phút cho 170 epoch, tương ứng 472 mili giây cho mỗi batch; ở batch 1024, cùng số epoch sẽ cần khoảng 34 giờ. Với ma trận 36 lần chạy, cấu hình batch nhỏ vượt xa ngân sách tính toán khả dụng. Giá trị 65.536 là một luỹ thừa của hai theo quy ước cấp phát bộ nhớ trên GPU, và được áp dụng thống nhất cho mọi mô hình graph-based trong ma trận.</w:t>
      </w:r>
    </w:p>
    <w:p>
      <w:r>
        <w:t>Learning rate 0.005 đi kèm batch lớn đó. Theo quy tắc linear scaling, một batch gấp 64 lần sẽ ứng với learning rate khoảng 0.064; giá trị 0.005 nằm thấp hơn nhiều mức đó. Hướng lệch này là hướng an toàn, vì learning rate cao hơn mức quy tắc có thể làm quá trình huấn luyện phân kỳ khi chưa có pha warmup, trong khi learning rate thấp hơn chỉ làm mô hình học chậm hơn trên mỗi epoch và được bù bằng ngân sách 1000 epoch cùng cơ chế dừng sớm.</w:t>
      </w:r>
    </w:p>
    <w:p>
      <w:r>
        <w:t>Hai giá trị trên được cố định trước và chưa được dò trên dữ liệu của đề tài; đây là một hạn chế được nêu rõ chứ không phải một lựa chọn được trình bày như đã tối ưu. Hạn chế này không ảnh hưởng tới kết luận của chương, vì cả sáu mô hình trong ma trận đều nhận cùng learning_rate, cùng batch_size, cùng ngân sách epoch và cùng cơ chế dừng sớm; một learning rate chưa tối ưu do đó tác động như nhau lên mọi mô hình và không tạo lợi thế cho mô hình nào. Điều kiện này chỉ giới hạn cách diễn giải giá trị tuyệt đối của các chỉ số, trong khi kết luận của đề tài dựa trên chênh lệch giữa các mô hình đo trong cùng một giao thức. Việc dò learning_rate và batch_size theo cách đã dò λ được nêu là hướng phát triển ở mục 5.4.</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0.023736 ± 0.003524</w:t>
            </w:r>
          </w:p>
        </w:tc>
        <w:tc>
          <w:tcPr>
            <w:tcW w:type="dxa" w:w="1465"/>
          </w:tcPr>
          <w:p>
            <w:r>
              <w:t>0.014803 ± 0.002754</w:t>
            </w:r>
          </w:p>
        </w:tc>
        <w:tc>
          <w:tcPr>
            <w:tcW w:type="dxa" w:w="1465"/>
          </w:tcPr>
          <w:p>
            <w:r>
              <w:t>0.046655 ± 0.004244</w:t>
            </w:r>
          </w:p>
        </w:tc>
        <w:tc>
          <w:tcPr>
            <w:tcW w:type="dxa" w:w="1465"/>
          </w:tcPr>
          <w:p>
            <w:r>
              <w:t>0.020544 ± 0.001101</w:t>
            </w:r>
          </w:p>
        </w:tc>
      </w:tr>
      <w:tr>
        <w:tc>
          <w:tcPr>
            <w:tcW w:type="dxa" w:w="1465"/>
          </w:tcPr>
          <w:p>
            <w:r>
              <w:t>Static KG-GCN</w:t>
            </w:r>
          </w:p>
        </w:tc>
        <w:tc>
          <w:tcPr>
            <w:tcW w:type="dxa" w:w="1465"/>
          </w:tcPr>
          <w:p>
            <w:r>
              <w:t>593</w:t>
            </w:r>
          </w:p>
        </w:tc>
        <w:tc>
          <w:tcPr>
            <w:tcW w:type="dxa" w:w="1465"/>
          </w:tcPr>
          <w:p>
            <w:r>
              <w:t>0.027178 ± 0.005070</w:t>
            </w:r>
          </w:p>
        </w:tc>
        <w:tc>
          <w:tcPr>
            <w:tcW w:type="dxa" w:w="1465"/>
          </w:tcPr>
          <w:p>
            <w:r>
              <w:t>0.015909 ± 0.003143</w:t>
            </w:r>
          </w:p>
        </w:tc>
        <w:tc>
          <w:tcPr>
            <w:tcW w:type="dxa" w:w="1465"/>
          </w:tcPr>
          <w:p>
            <w:r>
              <w:t>0.053963 ± 0.007351</w:t>
            </w:r>
          </w:p>
        </w:tc>
        <w:tc>
          <w:tcPr>
            <w:tcW w:type="dxa" w:w="1465"/>
          </w:tcPr>
          <w:p>
            <w:r>
              <w:t>0.021152 ± 0.000694</w:t>
            </w:r>
          </w:p>
        </w:tc>
      </w:tr>
      <w:tr>
        <w:tc>
          <w:tcPr>
            <w:tcW w:type="dxa" w:w="1465"/>
          </w:tcPr>
          <w:p>
            <w:r>
              <w:t>BT-DKGRec-GCN (λ=0,01)</w:t>
            </w:r>
          </w:p>
        </w:tc>
        <w:tc>
          <w:tcPr>
            <w:tcW w:type="dxa" w:w="1465"/>
          </w:tcPr>
          <w:p>
            <w:r>
              <w:t>593</w:t>
            </w:r>
          </w:p>
        </w:tc>
        <w:tc>
          <w:tcPr>
            <w:tcW w:type="dxa" w:w="1465"/>
          </w:tcPr>
          <w:p>
            <w:r>
              <w:t>0.028778 ± 0.004961</w:t>
            </w:r>
          </w:p>
        </w:tc>
        <w:tc>
          <w:tcPr>
            <w:tcW w:type="dxa" w:w="1465"/>
          </w:tcPr>
          <w:p>
            <w:r>
              <w:t>0.015708 ± 0.001940</w:t>
            </w:r>
          </w:p>
        </w:tc>
        <w:tc>
          <w:tcPr>
            <w:tcW w:type="dxa" w:w="1465"/>
          </w:tcPr>
          <w:p>
            <w:r>
              <w:t>0.055087 ± 0.007604</w:t>
            </w:r>
          </w:p>
        </w:tc>
        <w:tc>
          <w:tcPr>
            <w:tcW w:type="dxa" w:w="1465"/>
          </w:tcPr>
          <w:p>
            <w:r>
              <w:t>0.020027 ± 0.001476</w:t>
            </w:r>
          </w:p>
        </w:tc>
      </w:tr>
      <w:tr>
        <w:tc>
          <w:tcPr>
            <w:tcW w:type="dxa" w:w="1465"/>
          </w:tcPr>
          <w:p>
            <w:r>
              <w:t>BT-DKGRec-GCN (λ=0,05)</w:t>
            </w:r>
          </w:p>
        </w:tc>
        <w:tc>
          <w:tcPr>
            <w:tcW w:type="dxa" w:w="1465"/>
          </w:tcPr>
          <w:p>
            <w:r>
              <w:t>593</w:t>
            </w:r>
          </w:p>
        </w:tc>
        <w:tc>
          <w:tcPr>
            <w:tcW w:type="dxa" w:w="1465"/>
          </w:tcPr>
          <w:p>
            <w:r>
              <w:t>0.030453 ± 0.002048</w:t>
            </w:r>
          </w:p>
        </w:tc>
        <w:tc>
          <w:tcPr>
            <w:tcW w:type="dxa" w:w="1465"/>
          </w:tcPr>
          <w:p>
            <w:r>
              <w:t>0.017704 ± 0.001954</w:t>
            </w:r>
          </w:p>
        </w:tc>
        <w:tc>
          <w:tcPr>
            <w:tcW w:type="dxa" w:w="1465"/>
          </w:tcPr>
          <w:p>
            <w:r>
              <w:t>0.060708 ± 0.008762</w:t>
            </w:r>
          </w:p>
        </w:tc>
        <w:tc>
          <w:tcPr>
            <w:tcW w:type="dxa" w:w="1465"/>
          </w:tcPr>
          <w:p>
            <w:r>
              <w:t>0.022865 ± 0.004165</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01253"/>
            <wp:docPr id="1" name="Picture 1"/>
            <wp:cNvGraphicFramePr>
              <a:graphicFrameLocks noChangeAspect="1"/>
            </wp:cNvGraphicFramePr>
            <a:graphic>
              <a:graphicData uri="http://schemas.openxmlformats.org/drawingml/2006/picture">
                <pic:pic>
                  <pic:nvPicPr>
                    <pic:cNvPr id="0" name="fig_compare_original_k20.png"/>
                    <pic:cNvPicPr/>
                  </pic:nvPicPr>
                  <pic:blipFill>
                    <a:blip r:embed="rId21"/>
                    <a:stretch>
                      <a:fillRect/>
                    </a:stretch>
                  </pic:blipFill>
                  <pic:spPr>
                    <a:xfrm>
                      <a:off x="0" y="0"/>
                      <a:ext cx="5221224" cy="1901253"/>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374487"/>
            <wp:docPr id="2" name="Picture 2"/>
            <wp:cNvGraphicFramePr>
              <a:graphicFrameLocks noChangeAspect="1"/>
            </wp:cNvGraphicFramePr>
            <a:graphic>
              <a:graphicData uri="http://schemas.openxmlformats.org/drawingml/2006/picture">
                <pic:pic>
                  <pic:nvPicPr>
                    <pic:cNvPr id="0" name="fig_curves_original.png"/>
                    <pic:cNvPicPr/>
                  </pic:nvPicPr>
                  <pic:blipFill>
                    <a:blip r:embed="rId22"/>
                    <a:stretch>
                      <a:fillRect/>
                    </a:stretch>
                  </pic:blipFill>
                  <pic:spPr>
                    <a:xfrm>
                      <a:off x="0" y="0"/>
                      <a:ext cx="5221224" cy="2374487"/>
                    </a:xfrm>
                    <a:prstGeom prst="rect"/>
                  </pic:spPr>
                </pic:pic>
              </a:graphicData>
            </a:graphic>
          </wp:inline>
        </w:drawing>
      </w:r>
    </w:p>
    <w:p>
      <w:pPr>
        <w:jc w:val="center"/>
      </w:pPr>
      <w:r>
        <w:rPr>
          <w:b/>
        </w:rPr>
        <w:t>Hình 4.2. Đường loss huấn luyện của các mô hình trên original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14962"/>
            <wp:docPr id="3" name="Picture 3"/>
            <wp:cNvGraphicFramePr>
              <a:graphicFrameLocks noChangeAspect="1"/>
            </wp:cNvGraphicFramePr>
            <a:graphic>
              <a:graphicData uri="http://schemas.openxmlformats.org/drawingml/2006/picture">
                <pic:pic>
                  <pic:nvPicPr>
                    <pic:cNvPr id="0" name="fig_compare_active_k20.png"/>
                    <pic:cNvPicPr/>
                  </pic:nvPicPr>
                  <pic:blipFill>
                    <a:blip r:embed="rId23"/>
                    <a:stretch>
                      <a:fillRect/>
                    </a:stretch>
                  </pic:blipFill>
                  <pic:spPr>
                    <a:xfrm>
                      <a:off x="0" y="0"/>
                      <a:ext cx="5221224" cy="1914962"/>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386592"/>
            <wp:docPr id="4" name="Picture 4"/>
            <wp:cNvGraphicFramePr>
              <a:graphicFrameLocks noChangeAspect="1"/>
            </wp:cNvGraphicFramePr>
            <a:graphic>
              <a:graphicData uri="http://schemas.openxmlformats.org/drawingml/2006/picture">
                <pic:pic>
                  <pic:nvPicPr>
                    <pic:cNvPr id="0" name="fig_curves_active.png"/>
                    <pic:cNvPicPr/>
                  </pic:nvPicPr>
                  <pic:blipFill>
                    <a:blip r:embed="rId24"/>
                    <a:stretch>
                      <a:fillRect/>
                    </a:stretch>
                  </pic:blipFill>
                  <pic:spPr>
                    <a:xfrm>
                      <a:off x="0" y="0"/>
                      <a:ext cx="5221224" cy="2386592"/>
                    </a:xfrm>
                    <a:prstGeom prst="rect"/>
                  </pic:spPr>
                </pic:pic>
              </a:graphicData>
            </a:graphic>
          </wp:inline>
        </w:drawing>
      </w:r>
    </w:p>
    <w:p>
      <w:pPr>
        <w:jc w:val="center"/>
      </w:pPr>
      <w:r>
        <w:rPr>
          <w:b/>
        </w:rPr>
        <w:t>Hình 4.4. Đường loss huấn luyện của các mô hình trên active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original</w:t>
            </w:r>
          </w:p>
        </w:tc>
        <w:tc>
          <w:tcPr>
            <w:tcW w:type="dxa" w:w="1465"/>
          </w:tcPr>
          <w:p>
            <w:r>
              <w:t>Recall@20</w:t>
            </w:r>
          </w:p>
        </w:tc>
        <w:tc>
          <w:tcPr>
            <w:tcW w:type="dxa" w:w="1465"/>
          </w:tcPr>
          <w:p>
            <w:r>
              <w:t>0.023736 ± 0.003524</w:t>
            </w:r>
          </w:p>
        </w:tc>
        <w:tc>
          <w:tcPr>
            <w:tcW w:type="dxa" w:w="1465"/>
          </w:tcPr>
          <w:p>
            <w:r>
              <w:t>0.028778 ± 0.004961</w:t>
            </w:r>
          </w:p>
        </w:tc>
        <w:tc>
          <w:tcPr>
            <w:tcW w:type="dxa" w:w="1465"/>
          </w:tcPr>
          <w:p>
            <w:r>
              <w:t>+21.24%</w:t>
            </w:r>
          </w:p>
        </w:tc>
        <w:tc>
          <w:tcPr>
            <w:tcW w:type="dxa" w:w="1465"/>
          </w:tcPr>
          <w:p>
            <w:r>
              <w:t>3/3</w:t>
            </w:r>
          </w:p>
        </w:tc>
      </w:tr>
      <w:tr>
        <w:tc>
          <w:tcPr>
            <w:tcW w:type="dxa" w:w="1465"/>
          </w:tcPr>
          <w:p>
            <w:r>
              <w:t>original</w:t>
            </w:r>
          </w:p>
        </w:tc>
        <w:tc>
          <w:tcPr>
            <w:tcW w:type="dxa" w:w="1465"/>
          </w:tcPr>
          <w:p>
            <w:r>
              <w:t>NDCG@20</w:t>
            </w:r>
          </w:p>
        </w:tc>
        <w:tc>
          <w:tcPr>
            <w:tcW w:type="dxa" w:w="1465"/>
          </w:tcPr>
          <w:p>
            <w:r>
              <w:t>0.014803 ± 0.002754</w:t>
            </w:r>
          </w:p>
        </w:tc>
        <w:tc>
          <w:tcPr>
            <w:tcW w:type="dxa" w:w="1465"/>
          </w:tcPr>
          <w:p>
            <w:r>
              <w:t>0.015708 ± 0.001940</w:t>
            </w:r>
          </w:p>
        </w:tc>
        <w:tc>
          <w:tcPr>
            <w:tcW w:type="dxa" w:w="1465"/>
          </w:tcPr>
          <w:p>
            <w:r>
              <w:t>+6.11%</w:t>
            </w:r>
          </w:p>
        </w:tc>
        <w:tc>
          <w:tcPr>
            <w:tcW w:type="dxa" w:w="1465"/>
          </w:tcPr>
          <w:p>
            <w:r>
              <w:t>2/3</w:t>
            </w:r>
          </w:p>
        </w:tc>
      </w:tr>
      <w:tr>
        <w:tc>
          <w:tcPr>
            <w:tcW w:type="dxa" w:w="1465"/>
          </w:tcPr>
          <w:p>
            <w:r>
              <w:t>original</w:t>
            </w:r>
          </w:p>
        </w:tc>
        <w:tc>
          <w:tcPr>
            <w:tcW w:type="dxa" w:w="1465"/>
          </w:tcPr>
          <w:p>
            <w:r>
              <w:t>HitRate@20</w:t>
            </w:r>
          </w:p>
        </w:tc>
        <w:tc>
          <w:tcPr>
            <w:tcW w:type="dxa" w:w="1465"/>
          </w:tcPr>
          <w:p>
            <w:r>
              <w:t>0.046655 ± 0.004244</w:t>
            </w:r>
          </w:p>
        </w:tc>
        <w:tc>
          <w:tcPr>
            <w:tcW w:type="dxa" w:w="1465"/>
          </w:tcPr>
          <w:p>
            <w:r>
              <w:t>0.055087 ± 0.007604</w:t>
            </w:r>
          </w:p>
        </w:tc>
        <w:tc>
          <w:tcPr>
            <w:tcW w:type="dxa" w:w="1465"/>
          </w:tcPr>
          <w:p>
            <w:r>
              <w:t>+18.07%</w:t>
            </w:r>
          </w:p>
        </w:tc>
        <w:tc>
          <w:tcPr>
            <w:tcW w:type="dxa" w:w="1465"/>
          </w:tcPr>
          <w:p>
            <w:r>
              <w:t>3/3</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original</w:t>
            </w:r>
          </w:p>
        </w:tc>
        <w:tc>
          <w:tcPr>
            <w:tcW w:type="dxa" w:w="2197"/>
          </w:tcPr>
          <w:p>
            <w:r>
              <w:t>Recall@20</w:t>
            </w:r>
          </w:p>
        </w:tc>
        <w:tc>
          <w:tcPr>
            <w:tcW w:type="dxa" w:w="2197"/>
          </w:tcPr>
          <w:p>
            <w:r>
              <w:t>0.2320</w:t>
            </w:r>
          </w:p>
        </w:tc>
        <w:tc>
          <w:tcPr>
            <w:tcW w:type="dxa" w:w="2197"/>
          </w:tcPr>
          <w:p>
            <w:r>
              <w:t>0.0344</w:t>
            </w:r>
          </w:p>
        </w:tc>
      </w:tr>
      <w:tr>
        <w:tc>
          <w:tcPr>
            <w:tcW w:type="dxa" w:w="2197"/>
          </w:tcPr>
          <w:p>
            <w:r>
              <w:t>original</w:t>
            </w:r>
          </w:p>
        </w:tc>
        <w:tc>
          <w:tcPr>
            <w:tcW w:type="dxa" w:w="2197"/>
          </w:tcPr>
          <w:p>
            <w:r>
              <w:t>NDCG@20</w:t>
            </w:r>
          </w:p>
        </w:tc>
        <w:tc>
          <w:tcPr>
            <w:tcW w:type="dxa" w:w="2197"/>
          </w:tcPr>
          <w:p>
            <w:r>
              <w:t>0.6684</w:t>
            </w:r>
          </w:p>
        </w:tc>
        <w:tc>
          <w:tcPr>
            <w:tcW w:type="dxa" w:w="2197"/>
          </w:tcPr>
          <w:p>
            <w:r>
              <w:t>0.3086</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original</w:t>
            </w:r>
          </w:p>
        </w:tc>
        <w:tc>
          <w:tcPr>
            <w:tcW w:type="dxa" w:w="1098"/>
          </w:tcPr>
          <w:p>
            <w:r>
              <w:t>Recall@20</w:t>
            </w:r>
          </w:p>
        </w:tc>
        <w:tc>
          <w:tcPr>
            <w:tcW w:type="dxa" w:w="1098"/>
          </w:tcPr>
          <w:p>
            <w:r>
              <w:t>0.027178 ± 0.005070</w:t>
            </w:r>
          </w:p>
        </w:tc>
        <w:tc>
          <w:tcPr>
            <w:tcW w:type="dxa" w:w="1098"/>
          </w:tcPr>
          <w:p>
            <w:r>
              <w:t>0.028778 ± 0.004961</w:t>
            </w:r>
          </w:p>
        </w:tc>
        <w:tc>
          <w:tcPr>
            <w:tcW w:type="dxa" w:w="1098"/>
          </w:tcPr>
          <w:p>
            <w:r>
              <w:t>+5.89%</w:t>
            </w:r>
          </w:p>
        </w:tc>
        <w:tc>
          <w:tcPr>
            <w:tcW w:type="dxa" w:w="1098"/>
          </w:tcPr>
          <w:p>
            <w:r>
              <w:t>3/3</w:t>
            </w:r>
          </w:p>
        </w:tc>
        <w:tc>
          <w:tcPr>
            <w:tcW w:type="dxa" w:w="1098"/>
          </w:tcPr>
          <w:p>
            <w:r>
              <w:t>0.7160</w:t>
            </w:r>
          </w:p>
        </w:tc>
        <w:tc>
          <w:tcPr>
            <w:tcW w:type="dxa" w:w="1098"/>
          </w:tcPr>
          <w:p>
            <w:r>
              <w:t>0.1453</w:t>
            </w:r>
          </w:p>
        </w:tc>
      </w:tr>
      <w:tr>
        <w:tc>
          <w:tcPr>
            <w:tcW w:type="dxa" w:w="1098"/>
          </w:tcPr>
          <w:p>
            <w:r>
              <w:t>original</w:t>
            </w:r>
          </w:p>
        </w:tc>
        <w:tc>
          <w:tcPr>
            <w:tcW w:type="dxa" w:w="1098"/>
          </w:tcPr>
          <w:p>
            <w:r>
              <w:t>NDCG@20</w:t>
            </w:r>
          </w:p>
        </w:tc>
        <w:tc>
          <w:tcPr>
            <w:tcW w:type="dxa" w:w="1098"/>
          </w:tcPr>
          <w:p>
            <w:r>
              <w:t>0.015909 ± 0.003143</w:t>
            </w:r>
          </w:p>
        </w:tc>
        <w:tc>
          <w:tcPr>
            <w:tcW w:type="dxa" w:w="1098"/>
          </w:tcPr>
          <w:p>
            <w:r>
              <w:t>0.015708 ± 0.001940</w:t>
            </w:r>
          </w:p>
        </w:tc>
        <w:tc>
          <w:tcPr>
            <w:tcW w:type="dxa" w:w="1098"/>
          </w:tcPr>
          <w:p>
            <w:r>
              <w:t>-1.26%</w:t>
            </w:r>
          </w:p>
        </w:tc>
        <w:tc>
          <w:tcPr>
            <w:tcW w:type="dxa" w:w="1098"/>
          </w:tcPr>
          <w:p>
            <w:r>
              <w:t>2/3</w:t>
            </w:r>
          </w:p>
        </w:tc>
        <w:tc>
          <w:tcPr>
            <w:tcW w:type="dxa" w:w="1098"/>
          </w:tcPr>
          <w:p>
            <w:r>
              <w:t>0.9303</w:t>
            </w:r>
          </w:p>
        </w:tc>
        <w:tc>
          <w:tcPr>
            <w:tcW w:type="dxa" w:w="1098"/>
          </w:tcPr>
          <w:p>
            <w:r>
              <w:t>0.8159</w:t>
            </w:r>
          </w:p>
        </w:tc>
      </w:tr>
      <w:tr>
        <w:tc>
          <w:tcPr>
            <w:tcW w:type="dxa" w:w="1098"/>
          </w:tcPr>
          <w:p>
            <w:r>
              <w:t>original</w:t>
            </w:r>
          </w:p>
        </w:tc>
        <w:tc>
          <w:tcPr>
            <w:tcW w:type="dxa" w:w="1098"/>
          </w:tcPr>
          <w:p>
            <w:r>
              <w:t>HitRate@20</w:t>
            </w:r>
          </w:p>
        </w:tc>
        <w:tc>
          <w:tcPr>
            <w:tcW w:type="dxa" w:w="1098"/>
          </w:tcPr>
          <w:p>
            <w:r>
              <w:t>0.053963 ± 0.007351</w:t>
            </w:r>
          </w:p>
        </w:tc>
        <w:tc>
          <w:tcPr>
            <w:tcW w:type="dxa" w:w="1098"/>
          </w:tcPr>
          <w:p>
            <w:r>
              <w:t>0.055087 ± 0.007604</w:t>
            </w:r>
          </w:p>
        </w:tc>
        <w:tc>
          <w:tcPr>
            <w:tcW w:type="dxa" w:w="1098"/>
          </w:tcPr>
          <w:p>
            <w:r>
              <w:t>+2.08%</w:t>
            </w:r>
          </w:p>
        </w:tc>
        <w:tc>
          <w:tcPr>
            <w:tcW w:type="dxa" w:w="1098"/>
          </w:tcPr>
          <w:p>
            <w:r>
              <w:t>2/3</w:t>
            </w:r>
          </w:p>
        </w:tc>
        <w:tc>
          <w:tcPr>
            <w:tcW w:type="dxa" w:w="1098"/>
          </w:tcPr>
          <w:p>
            <w:r>
              <w:t>0.8629</w:t>
            </w:r>
          </w:p>
        </w:tc>
        <w:tc>
          <w:tcPr>
            <w:tcW w:type="dxa" w:w="1098"/>
          </w:tcPr>
          <w:p>
            <w:r>
              <w:t>0.5286</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original</w:t>
            </w:r>
          </w:p>
        </w:tc>
        <w:tc>
          <w:tcPr>
            <w:tcW w:type="dxa" w:w="1758"/>
          </w:tcPr>
          <w:p>
            <w:r>
              <w:t>+14.50%</w:t>
            </w:r>
          </w:p>
        </w:tc>
        <w:tc>
          <w:tcPr>
            <w:tcW w:type="dxa" w:w="1758"/>
          </w:tcPr>
          <w:p>
            <w:r>
              <w:t>0.3952</w:t>
            </w:r>
          </w:p>
        </w:tc>
        <w:tc>
          <w:tcPr>
            <w:tcW w:type="dxa" w:w="1758"/>
          </w:tcPr>
          <w:p>
            <w:r>
              <w:t>0.0617</w:t>
            </w:r>
          </w:p>
        </w:tc>
        <w:tc>
          <w:tcPr>
            <w:tcW w:type="dxa" w:w="1758"/>
          </w:tcPr>
          <w:p>
            <w:r>
              <w:t>3/3</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một phần bằng cách phép chuẩn hóa đưa trọng số vào lan truyền. Trọng số W(u,i) được gộp theo từng cạnh giữa một người dùng và một item, sau đó phép chuẩn hóa đối xứng Â = D^(−1/2) A D^(−1/2) chia trọng số đó cho tích căn bậc hai của bậc hai đầu cạnh. Với người dùng chỉ có một cạnh trong graph, bậc có trọng số của người dùng bằng đúng trọng số cạnh, nên hệ số còn lại là căn bậc hai của W(u,i) chia cho căn bậc hai của bậc item; trọng số đi vào lan truyền theo căn bậc hai chứ không giữ nguyên độ lớn danh nghĩa. Tỉ lệ 3:1 giữa transaction và view sau chuẩn hóa vì vậy còn khoảng 1.73:1.</w:t>
      </w:r>
    </w:p>
    <w:p>
      <w:pPr>
        <w:jc w:val="center"/>
      </w:pPr>
      <w:r>
        <w:rPr>
          <w:b/>
        </w:rPr>
        <w:t>Bảng 4.12. Phân bố bậc người dùng trong tập đánh giá cohort Original</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Số cạnh trong graph</w:t>
            </w:r>
          </w:p>
        </w:tc>
        <w:tc>
          <w:tcPr>
            <w:tcW w:type="dxa" w:w="2929"/>
          </w:tcPr>
          <w:p>
            <w:r/>
            <w:r>
              <w:rPr>
                <w:b/>
              </w:rPr>
              <w:t>Số người dùng</w:t>
            </w:r>
          </w:p>
        </w:tc>
        <w:tc>
          <w:tcPr>
            <w:tcW w:type="dxa" w:w="2929"/>
          </w:tcPr>
          <w:p>
            <w:r/>
            <w:r>
              <w:rPr>
                <w:b/>
              </w:rPr>
              <w:t>Tỷ lệ</w:t>
            </w:r>
          </w:p>
        </w:tc>
      </w:tr>
      <w:tr>
        <w:tc>
          <w:tcPr>
            <w:tcW w:type="dxa" w:w="2929"/>
          </w:tcPr>
          <w:p>
            <w:r>
              <w:t>1</w:t>
            </w:r>
          </w:p>
        </w:tc>
        <w:tc>
          <w:tcPr>
            <w:tcW w:type="dxa" w:w="2929"/>
          </w:tcPr>
          <w:p>
            <w:r>
              <w:t>259</w:t>
            </w:r>
          </w:p>
        </w:tc>
        <w:tc>
          <w:tcPr>
            <w:tcW w:type="dxa" w:w="2929"/>
          </w:tcPr>
          <w:p>
            <w:r>
              <w:t>43.7%</w:t>
            </w:r>
          </w:p>
        </w:tc>
      </w:tr>
      <w:tr>
        <w:tc>
          <w:tcPr>
            <w:tcW w:type="dxa" w:w="2929"/>
          </w:tcPr>
          <w:p>
            <w:r>
              <w:t>2</w:t>
            </w:r>
          </w:p>
        </w:tc>
        <w:tc>
          <w:tcPr>
            <w:tcW w:type="dxa" w:w="2929"/>
          </w:tcPr>
          <w:p>
            <w:r>
              <w:t>76</w:t>
            </w:r>
          </w:p>
        </w:tc>
        <w:tc>
          <w:tcPr>
            <w:tcW w:type="dxa" w:w="2929"/>
          </w:tcPr>
          <w:p>
            <w:r>
              <w:t>12.8%</w:t>
            </w:r>
          </w:p>
        </w:tc>
      </w:tr>
      <w:tr>
        <w:tc>
          <w:tcPr>
            <w:tcW w:type="dxa" w:w="2929"/>
          </w:tcPr>
          <w:p>
            <w:r>
              <w:t>từ 3 trở lên</w:t>
            </w:r>
          </w:p>
        </w:tc>
        <w:tc>
          <w:tcPr>
            <w:tcW w:type="dxa" w:w="2929"/>
          </w:tcPr>
          <w:p>
            <w:r>
              <w:t>258</w:t>
            </w:r>
          </w:p>
        </w:tc>
        <w:tc>
          <w:tcPr>
            <w:tcW w:type="dxa" w:w="2929"/>
          </w:tcPr>
          <w:p>
            <w:r>
              <w:t>43.5%</w:t>
            </w:r>
          </w:p>
        </w:tc>
      </w:tr>
    </w:tbl>
    <w:p/>
    <w:p>
      <w:r>
        <w:t>Biên độ bị nén này áp dụng cho mọi người dùng chứ không riêng nhóm có ít cạnh, và nó thu hẹp khoảng cách kỳ vọng giữa mô hình dùng behavior-time weighting và mô hình dùng trọng số đồng nhất mà không xóa bỏ khoảng cách đó. Vì bậc của người dùng quyết định lượng tín hiệu cá nhân hóa mà mô hình có được, kết quả được báo cáo thêm theo phân tầng bậc để thấy hiệu quả đến từ nhóm nào thay vì bình quân hóa trên toàn nhóm warm.</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nén biên độ,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