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w:t>
            </w:r>
          </w:p>
        </w:tc>
        <w:tc>
          <w:tcPr>
            <w:tcW w:type="dxa" w:w="2929"/>
          </w:tcPr>
          <w:p>
            <w:r>
              <w:t>kế thừa cấu hình v11</w:t>
            </w:r>
          </w:p>
        </w:tc>
      </w:tr>
      <w:tr>
        <w:tc>
          <w:tcPr>
            <w:tcW w:type="dxa" w:w="2929"/>
          </w:tcPr>
          <w:p>
            <w:r>
              <w:t>learning_rate</w:t>
            </w:r>
          </w:p>
        </w:tc>
        <w:tc>
          <w:tcPr>
            <w:tcW w:type="dxa" w:w="2929"/>
          </w:tcPr>
          <w:p>
            <w:r>
              <w:t>0.005</w:t>
            </w:r>
          </w:p>
        </w:tc>
        <w:tc>
          <w:tcPr>
            <w:tcW w:type="dxa" w:w="2929"/>
          </w:tcPr>
          <w:p>
            <w:r>
              <w:t>kế thừa cấu hình v11</w:t>
            </w:r>
          </w:p>
        </w:tc>
      </w:tr>
      <w:tr>
        <w:tc>
          <w:tcPr>
            <w:tcW w:type="dxa" w:w="2929"/>
          </w:tcPr>
          <w:p>
            <w:r>
              <w:t>reg_weight</w:t>
            </w:r>
          </w:p>
        </w:tc>
        <w:tc>
          <w:tcPr>
            <w:tcW w:type="dxa" w:w="2929"/>
          </w:tcPr>
          <w:p>
            <w:r>
              <w:t>0.0001</w:t>
            </w:r>
          </w:p>
        </w:tc>
        <w:tc>
          <w:tcPr>
            <w:tcW w:type="dxa" w:w="2929"/>
          </w:tcPr>
          <w:p>
            <w:r>
              <w:t>kế thừa cấu hình v11</w:t>
            </w:r>
          </w:p>
        </w:tc>
      </w:tr>
      <w:tr>
        <w:tc>
          <w:tcPr>
            <w:tcW w:type="dxa" w:w="2929"/>
          </w:tcPr>
          <w:p>
            <w:r>
              <w:t>loss</w:t>
            </w:r>
          </w:p>
        </w:tc>
        <w:tc>
          <w:tcPr>
            <w:tcW w:type="dxa" w:w="2929"/>
          </w:tcPr>
          <w:p>
            <w:r>
              <w:t>BPR chuẩn, một mẫu âm</w:t>
            </w:r>
          </w:p>
        </w:tc>
        <w:tc>
          <w:tcPr>
            <w:tcW w:type="dxa" w:w="2929"/>
          </w:tcPr>
          <w:p>
            <w:r>
              <w:t>công thức (3.30)</w:t>
            </w:r>
          </w:p>
        </w:tc>
      </w:tr>
      <w:tr>
        <w:tc>
          <w:tcPr>
            <w:tcW w:type="dxa" w:w="2929"/>
          </w:tcPr>
          <w:p>
            <w:r>
              <w:t>num_negatives</w:t>
            </w:r>
          </w:p>
        </w:tc>
        <w:tc>
          <w:tcPr>
            <w:tcW w:type="dxa" w:w="2929"/>
          </w:tcPr>
          <w:p>
            <w:r>
              <w:t>1</w:t>
            </w:r>
          </w:p>
        </w:tc>
        <w:tc>
          <w:tcPr>
            <w:tcW w:type="dxa" w:w="2929"/>
          </w:tcPr>
          <w:p>
            <w:r>
              <w:t>kế thừa cấu hình v11</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0.025544 ± 0.000000</w:t>
            </w:r>
          </w:p>
        </w:tc>
        <w:tc>
          <w:tcPr>
            <w:tcW w:type="dxa" w:w="1465"/>
          </w:tcPr>
          <w:p>
            <w:r>
              <w:t>0.015901 ± 0.000000</w:t>
            </w:r>
          </w:p>
        </w:tc>
        <w:tc>
          <w:tcPr>
            <w:tcW w:type="dxa" w:w="1465"/>
          </w:tcPr>
          <w:p>
            <w:r>
              <w:t>0.047218 ± 0.000000</w:t>
            </w:r>
          </w:p>
        </w:tc>
        <w:tc>
          <w:tcPr>
            <w:tcW w:type="dxa" w:w="1465"/>
          </w:tcPr>
          <w:p>
            <w:r>
              <w:t>0.019409 ± 0.000000</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3620421"/>
            <wp:docPr id="1" name="Picture 1"/>
            <wp:cNvGraphicFramePr>
              <a:graphicFrameLocks noChangeAspect="1"/>
            </wp:cNvGraphicFramePr>
            <a:graphic>
              <a:graphicData uri="http://schemas.openxmlformats.org/drawingml/2006/picture">
                <pic:pic>
                  <pic:nvPicPr>
                    <pic:cNvPr id="0" name="original_metrics.png"/>
                    <pic:cNvPicPr/>
                  </pic:nvPicPr>
                  <pic:blipFill>
                    <a:blip r:embed="rId21"/>
                    <a:stretch>
                      <a:fillRect/>
                    </a:stretch>
                  </pic:blipFill>
                  <pic:spPr>
                    <a:xfrm>
                      <a:off x="0" y="0"/>
                      <a:ext cx="5221224" cy="3620421"/>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918291"/>
            <wp:docPr id="2" name="Picture 2"/>
            <wp:cNvGraphicFramePr>
              <a:graphicFrameLocks noChangeAspect="1"/>
            </wp:cNvGraphicFramePr>
            <a:graphic>
              <a:graphicData uri="http://schemas.openxmlformats.org/drawingml/2006/picture">
                <pic:pic>
                  <pic:nvPicPr>
                    <pic:cNvPr id="0" name="original_loss.png"/>
                    <pic:cNvPicPr/>
                  </pic:nvPicPr>
                  <pic:blipFill>
                    <a:blip r:embed="rId22"/>
                    <a:stretch>
                      <a:fillRect/>
                    </a:stretch>
                  </pic:blipFill>
                  <pic:spPr>
                    <a:xfrm>
                      <a:off x="0" y="0"/>
                      <a:ext cx="5221224" cy="2918291"/>
                    </a:xfrm>
                    <a:prstGeom prst="rect"/>
                  </pic:spPr>
                </pic:pic>
              </a:graphicData>
            </a:graphic>
          </wp:inline>
        </w:drawing>
      </w:r>
    </w:p>
    <w:p>
      <w:pPr>
        <w:jc w:val="center"/>
      </w:pPr>
      <w:r>
        <w:rPr>
          <w:b/>
        </w:rPr>
        <w:t>Hình 4.2. Đường loss huấn luyện của các mô hình trên original split</w:t>
      </w:r>
    </w:p>
    <w:p>
      <w:r>
        <w:t>Trục loss dùng thang log; trên thang tuyến tính mọi đường đều dính vào 0 sau khoảng epoch 50 và không còn đọc được phần hội tụ. Đường vẽ là trung bình theo các seed, dải nền là khoảng min-max giữa các seed. Hai mô hình tất định không có đường loss nên không xuất hiện trong hình.</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3620421"/>
            <wp:docPr id="3" name="Picture 3"/>
            <wp:cNvGraphicFramePr>
              <a:graphicFrameLocks noChangeAspect="1"/>
            </wp:cNvGraphicFramePr>
            <a:graphic>
              <a:graphicData uri="http://schemas.openxmlformats.org/drawingml/2006/picture">
                <pic:pic>
                  <pic:nvPicPr>
                    <pic:cNvPr id="0" name="active_metrics.png"/>
                    <pic:cNvPicPr/>
                  </pic:nvPicPr>
                  <pic:blipFill>
                    <a:blip r:embed="rId23"/>
                    <a:stretch>
                      <a:fillRect/>
                    </a:stretch>
                  </pic:blipFill>
                  <pic:spPr>
                    <a:xfrm>
                      <a:off x="0" y="0"/>
                      <a:ext cx="5221224" cy="3620421"/>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913089"/>
            <wp:docPr id="4" name="Picture 4"/>
            <wp:cNvGraphicFramePr>
              <a:graphicFrameLocks noChangeAspect="1"/>
            </wp:cNvGraphicFramePr>
            <a:graphic>
              <a:graphicData uri="http://schemas.openxmlformats.org/drawingml/2006/picture">
                <pic:pic>
                  <pic:nvPicPr>
                    <pic:cNvPr id="0" name="active_loss.png"/>
                    <pic:cNvPicPr/>
                  </pic:nvPicPr>
                  <pic:blipFill>
                    <a:blip r:embed="rId24"/>
                    <a:stretch>
                      <a:fillRect/>
                    </a:stretch>
                  </pic:blipFill>
                  <pic:spPr>
                    <a:xfrm>
                      <a:off x="0" y="0"/>
                      <a:ext cx="5221224" cy="2913089"/>
                    </a:xfrm>
                    <a:prstGeom prst="rect"/>
                  </pic:spPr>
                </pic:pic>
              </a:graphicData>
            </a:graphic>
          </wp:inline>
        </w:drawing>
      </w:r>
    </w:p>
    <w:p>
      <w:pPr>
        <w:jc w:val="center"/>
      </w:pPr>
      <w:r>
        <w:rPr>
          <w:b/>
        </w:rPr>
        <w:t>Hình 4.4. Đường loss huấn luyện của các mô hình trên active split</w:t>
      </w:r>
    </w:p>
    <w:p>
      <w:r>
        <w:t>Trục loss dùng thang log; trên thang tuyến tính mọi đường đều dính vào 0 sau khoảng epoch 50 và không còn đọc được phần hội tụ. Đường vẽ là trung bình theo các seed, dải nền là khoảng min-max giữa các seed. Hai mô hình tất định không có đường loss nên không xuất hiện trong hình.</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bằng cấu trúc dữ liệu. Trọng số W(u,i) được gộp theo từng cạnh giữa một người dùng và một item, trong khi phép chuẩn hóa đối xứng Â = D^(−1/2) A D^(−1/2) chia hàng của mỗi người dùng cho tổng trọng số của chính người dùng đó. Với người dùng chỉ có một cạnh trong graph, trọng số bị chia cho chính nó; vì thứ tự xếp hạng theo từng người dùng bất biến với phép nhân một hằng số dương, mô hình có behavior-time weighting và mô hình tĩnh sinh ra cùng một thứ tự cho những người dùng đó.</w:t>
      </w:r>
    </w:p>
    <w:p>
      <w:pPr>
        <w:jc w:val="center"/>
      </w:pPr>
      <w:r>
        <w:rPr>
          <w:b/>
        </w:rPr>
        <w:t>Bảng 4.12. Phân bố bậc người dùng trong tập huấn luyện RetailRocket</w:t>
      </w:r>
    </w:p>
    <w:tbl>
      <w:tblPr>
        <w:tblStyle w:val="TableGrid"/>
        <w:tblW w:type="auto" w:w="0"/>
        <w:tblLook w:firstColumn="1" w:firstRow="1" w:lastColumn="0" w:lastRow="0" w:noHBand="0" w:noVBand="1" w:val="04A0"/>
      </w:tblPr>
      <w:tblGrid>
        <w:gridCol w:w="4394"/>
        <w:gridCol w:w="4394"/>
      </w:tblGrid>
      <w:tr>
        <w:tc>
          <w:tcPr>
            <w:tcW w:type="dxa" w:w="4394"/>
          </w:tcPr>
          <w:p>
            <w:r/>
            <w:r>
              <w:rPr>
                <w:b/>
              </w:rPr>
              <w:t>Số cạnh trong graph</w:t>
            </w:r>
          </w:p>
        </w:tc>
        <w:tc>
          <w:tcPr>
            <w:tcW w:type="dxa" w:w="4394"/>
          </w:tcPr>
          <w:p>
            <w:r/>
            <w:r>
              <w:rPr>
                <w:b/>
              </w:rPr>
              <w:t>Tỷ lệ người dùng</w:t>
            </w:r>
          </w:p>
        </w:tc>
      </w:tr>
      <w:tr>
        <w:tc>
          <w:tcPr>
            <w:tcW w:type="dxa" w:w="4394"/>
          </w:tcPr>
          <w:p>
            <w:r>
              <w:t>1</w:t>
            </w:r>
          </w:p>
        </w:tc>
        <w:tc>
          <w:tcPr>
            <w:tcW w:type="dxa" w:w="4394"/>
          </w:tcPr>
          <w:p>
            <w:r>
              <w:t>79.6%</w:t>
            </w:r>
          </w:p>
        </w:tc>
      </w:tr>
      <w:tr>
        <w:tc>
          <w:tcPr>
            <w:tcW w:type="dxa" w:w="4394"/>
          </w:tcPr>
          <w:p>
            <w:r>
              <w:t>2</w:t>
            </w:r>
          </w:p>
        </w:tc>
        <w:tc>
          <w:tcPr>
            <w:tcW w:type="dxa" w:w="4394"/>
          </w:tcPr>
          <w:p>
            <w:r>
              <w:t>12.0%</w:t>
            </w:r>
          </w:p>
        </w:tc>
      </w:tr>
      <w:tr>
        <w:tc>
          <w:tcPr>
            <w:tcW w:type="dxa" w:w="4394"/>
          </w:tcPr>
          <w:p>
            <w:r>
              <w:t>từ 3 trở lên</w:t>
            </w:r>
          </w:p>
        </w:tc>
        <w:tc>
          <w:tcPr>
            <w:tcW w:type="dxa" w:w="4394"/>
          </w:tcPr>
          <w:p>
            <w:r>
              <w:t>8.4%</w:t>
            </w:r>
          </w:p>
        </w:tc>
      </w:tr>
    </w:tbl>
    <w:p/>
    <w:p>
      <w:r>
        <w:t>Cơ chế behavior-time weighting vì vậy không tác động tới khoảng bốn phần năm số người dùng trong tập đánh giá, và chỉ số tính gộp trên toàn bộ nhóm warm pha loãng hiệu ứng khoảng năm lần: một cải thiện 25% trên nhóm chiếm 20.4% sẽ xuất hiện ở mức khoảng 5% khi tính trên toàn nhóm, cùng bậc độ lớn với các giá trị quan sát được trong Bảng 4.10.</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theo người dùng triệt tiêu,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