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pStyle w:val="Heading1"/>
      </w:pPr>
      <w:r>
        <w:t>CHƯƠNG 4. THỰC NGHIỆM VÀ ĐÁNH GIÁ MÔ HÌNH — CÁC MỤC VIẾT LẠI</w:t>
      </w:r>
    </w:p>
    <w:p>
      <w:r>
        <w:t>Tài liệu này chứa các mục của Chương 4 được viết lại sau khi toàn bộ ma trận thực nghiệm được chạy lại với ngân sách huấn luyện đến hội tụ và ba seed. Bảng số được sinh trực tiếp từ thư mục experiments/runs bằng scripts/08_make_docx.py, không nhập tay.</w:t>
      </w:r>
    </w:p>
    <w:p>
      <w:pPr>
        <w:pStyle w:val="Heading3"/>
      </w:pPr>
      <w:r>
        <w:t>4.2.1. Quá trình huấn luyện và cấu hình mô hình</w:t>
      </w:r>
    </w:p>
    <w:p>
      <w:r>
        <w:t>Ma trận thực nghiệm gồm sáu mô hình, ba seed và hai nhóm người dùng. Ba seed 2020, 2021, 2022 được cố định trước khi chạy và lưu trong tệp experiments/seeds.json; không cấu hình nào được chọn lại sau khi quan sát kết quả test.</w:t>
      </w:r>
    </w:p>
    <w:p>
      <w:pPr>
        <w:jc w:val="center"/>
      </w:pPr>
      <w:r>
        <w:rPr>
          <w:b/>
        </w:rPr>
        <w:t>Bảng 4.4. Cấu hình huấn luyện dùng chung cho toàn bộ ma trận thực nghiệm</w:t>
      </w:r>
    </w:p>
    <w:tbl>
      <w:tblPr>
        <w:tblStyle w:val="TableGrid"/>
        <w:tblW w:type="auto" w:w="0"/>
        <w:tblLook w:firstColumn="1" w:firstRow="1" w:lastColumn="0" w:lastRow="0" w:noHBand="0" w:noVBand="1" w:val="04A0"/>
      </w:tblPr>
      <w:tblGrid>
        <w:gridCol w:w="2929"/>
        <w:gridCol w:w="2929"/>
        <w:gridCol w:w="2929"/>
      </w:tblGrid>
      <w:tr>
        <w:tc>
          <w:tcPr>
            <w:tcW w:type="dxa" w:w="2929"/>
          </w:tcPr>
          <w:p>
            <w:r/>
            <w:r>
              <w:rPr>
                <w:b/>
              </w:rPr>
              <w:t>Tham số</w:t>
            </w:r>
          </w:p>
        </w:tc>
        <w:tc>
          <w:tcPr>
            <w:tcW w:type="dxa" w:w="2929"/>
          </w:tcPr>
          <w:p>
            <w:r/>
            <w:r>
              <w:rPr>
                <w:b/>
              </w:rPr>
              <w:t>Giá trị</w:t>
            </w:r>
          </w:p>
        </w:tc>
        <w:tc>
          <w:tcPr>
            <w:tcW w:type="dxa" w:w="2929"/>
          </w:tcPr>
          <w:p>
            <w:r/>
            <w:r>
              <w:rPr>
                <w:b/>
              </w:rPr>
              <w:t>Căn cứ</w:t>
            </w:r>
          </w:p>
        </w:tc>
      </w:tr>
      <w:tr>
        <w:tc>
          <w:tcPr>
            <w:tcW w:type="dxa" w:w="2929"/>
          </w:tcPr>
          <w:p>
            <w:r>
              <w:t>embedding_dim</w:t>
            </w:r>
          </w:p>
        </w:tc>
        <w:tc>
          <w:tcPr>
            <w:tcW w:type="dxa" w:w="2929"/>
          </w:tcPr>
          <w:p>
            <w:r>
              <w:t>64</w:t>
            </w:r>
          </w:p>
        </w:tc>
        <w:tc>
          <w:tcPr>
            <w:tcW w:type="dxa" w:w="2929"/>
          </w:tcPr>
          <w:p>
            <w:r>
              <w:t>LightGCN mục 4.1.2, cố định cho mọi mô hình</w:t>
            </w:r>
          </w:p>
        </w:tc>
      </w:tr>
      <w:tr>
        <w:tc>
          <w:tcPr>
            <w:tcW w:type="dxa" w:w="2929"/>
          </w:tcPr>
          <w:p>
            <w:r>
              <w:t>num_layers</w:t>
            </w:r>
          </w:p>
        </w:tc>
        <w:tc>
          <w:tcPr>
            <w:tcW w:type="dxa" w:w="2929"/>
          </w:tcPr>
          <w:p>
            <w:r>
              <w:t>3</w:t>
            </w:r>
          </w:p>
        </w:tc>
        <w:tc>
          <w:tcPr>
            <w:tcW w:type="dxa" w:w="2929"/>
          </w:tcPr>
          <w:p>
            <w:r>
              <w:t>LightGCN mục 4.1.2, K = 3 tốt nhất trong khoảng 1–4</w:t>
            </w:r>
          </w:p>
        </w:tc>
      </w:tr>
      <w:tr>
        <w:tc>
          <w:tcPr>
            <w:tcW w:type="dxa" w:w="2929"/>
          </w:tcPr>
          <w:p>
            <w:r>
              <w:t>max_epochs</w:t>
            </w:r>
          </w:p>
        </w:tc>
        <w:tc>
          <w:tcPr>
            <w:tcW w:type="dxa" w:w="2929"/>
          </w:tcPr>
          <w:p>
            <w:r>
              <w:t>1000</w:t>
            </w:r>
          </w:p>
        </w:tc>
        <w:tc>
          <w:tcPr>
            <w:tcW w:type="dxa" w:w="2929"/>
          </w:tcPr>
          <w:p>
            <w:r>
              <w:t>dừng sớm quyết định điểm dừng thực tế</w:t>
            </w:r>
          </w:p>
        </w:tc>
      </w:tr>
      <w:tr>
        <w:tc>
          <w:tcPr>
            <w:tcW w:type="dxa" w:w="2929"/>
          </w:tcPr>
          <w:p>
            <w:r>
              <w:t>patience</w:t>
            </w:r>
          </w:p>
        </w:tc>
        <w:tc>
          <w:tcPr>
            <w:tcW w:type="dxa" w:w="2929"/>
          </w:tcPr>
          <w:p>
            <w:r>
              <w:t>20 (original), 50 (active)</w:t>
            </w:r>
          </w:p>
        </w:tc>
        <w:tc>
          <w:tcPr>
            <w:tcW w:type="dxa" w:w="2929"/>
          </w:tcPr>
          <w:p>
            <w:r>
              <w:t>phép kiểm độ nhạy trên curves.csv</w:t>
            </w:r>
          </w:p>
        </w:tc>
      </w:tr>
      <w:tr>
        <w:tc>
          <w:tcPr>
            <w:tcW w:type="dxa" w:w="2929"/>
          </w:tcPr>
          <w:p>
            <w:r>
              <w:t>eval_every</w:t>
            </w:r>
          </w:p>
        </w:tc>
        <w:tc>
          <w:tcPr>
            <w:tcW w:type="dxa" w:w="2929"/>
          </w:tcPr>
          <w:p>
            <w:r>
              <w:t>5 epoch</w:t>
            </w:r>
          </w:p>
        </w:tc>
        <w:tc>
          <w:tcPr>
            <w:tcW w:type="dxa" w:w="2929"/>
          </w:tcPr>
          <w:p>
            <w:r>
              <w:t>validation NDCG@20</w:t>
            </w:r>
          </w:p>
        </w:tc>
      </w:tr>
      <w:tr>
        <w:tc>
          <w:tcPr>
            <w:tcW w:type="dxa" w:w="2929"/>
          </w:tcPr>
          <w:p>
            <w:r>
              <w:t>monitor</w:t>
            </w:r>
          </w:p>
        </w:tc>
        <w:tc>
          <w:tcPr>
            <w:tcW w:type="dxa" w:w="2929"/>
          </w:tcPr>
          <w:p>
            <w:r>
              <w:t>NDCG@20 trên validation</w:t>
            </w:r>
          </w:p>
        </w:tc>
        <w:tc>
          <w:tcPr>
            <w:tcW w:type="dxa" w:w="2929"/>
          </w:tcPr>
          <w:p>
            <w:r>
              <w:t>không dùng chỉ số test để chọn mô hình</w:t>
            </w:r>
          </w:p>
        </w:tc>
      </w:tr>
      <w:tr>
        <w:tc>
          <w:tcPr>
            <w:tcW w:type="dxa" w:w="2929"/>
          </w:tcPr>
          <w:p>
            <w:r>
              <w:t>batch_size</w:t>
            </w:r>
          </w:p>
        </w:tc>
        <w:tc>
          <w:tcPr>
            <w:tcW w:type="dxa" w:w="2929"/>
          </w:tcPr>
          <w:p>
            <w:r>
              <w:t>65.536 (2^16)</w:t>
            </w:r>
          </w:p>
        </w:tc>
        <w:tc>
          <w:tcPr>
            <w:tcW w:type="dxa" w:w="2929"/>
          </w:tcPr>
          <w:p>
            <w:r>
              <w:t>mỗi batch lan truyền lại toàn đồ thị; batch lớn giữ số lần lan truyền ở 24 mỗi epoch</w:t>
            </w:r>
          </w:p>
        </w:tc>
      </w:tr>
      <w:tr>
        <w:tc>
          <w:tcPr>
            <w:tcW w:type="dxa" w:w="2929"/>
          </w:tcPr>
          <w:p>
            <w:r>
              <w:t>learning_rate</w:t>
            </w:r>
          </w:p>
        </w:tc>
        <w:tc>
          <w:tcPr>
            <w:tcW w:type="dxa" w:w="2929"/>
          </w:tcPr>
          <w:p>
            <w:r>
              <w:t>0.005</w:t>
            </w:r>
          </w:p>
        </w:tc>
        <w:tc>
          <w:tcPr>
            <w:tcW w:type="dxa" w:w="2929"/>
          </w:tcPr>
          <w:p>
            <w:r>
              <w:t>đi kèm batch lớn; chưa dò trên dữ liệu đề tài</w:t>
            </w:r>
          </w:p>
        </w:tc>
      </w:tr>
      <w:tr>
        <w:tc>
          <w:tcPr>
            <w:tcW w:type="dxa" w:w="2929"/>
          </w:tcPr>
          <w:p>
            <w:r>
              <w:t>reg_weight</w:t>
            </w:r>
          </w:p>
        </w:tc>
        <w:tc>
          <w:tcPr>
            <w:tcW w:type="dxa" w:w="2929"/>
          </w:tcPr>
          <w:p>
            <w:r>
              <w:t>0.0001</w:t>
            </w:r>
          </w:p>
        </w:tc>
        <w:tc>
          <w:tcPr>
            <w:tcW w:type="dxa" w:w="2929"/>
          </w:tcPr>
          <w:p>
            <w:r>
              <w:t>LightGCN mục 4.1.2, tối ưu trong hầu hết trường hợp</w:t>
            </w:r>
          </w:p>
        </w:tc>
      </w:tr>
      <w:tr>
        <w:tc>
          <w:tcPr>
            <w:tcW w:type="dxa" w:w="2929"/>
          </w:tcPr>
          <w:p>
            <w:r>
              <w:t>loss</w:t>
            </w:r>
          </w:p>
        </w:tc>
        <w:tc>
          <w:tcPr>
            <w:tcW w:type="dxa" w:w="2929"/>
          </w:tcPr>
          <w:p>
            <w:r>
              <w:t>BPR chuẩn, một mẫu âm</w:t>
            </w:r>
          </w:p>
        </w:tc>
        <w:tc>
          <w:tcPr>
            <w:tcW w:type="dxa" w:w="2929"/>
          </w:tcPr>
          <w:p>
            <w:r>
              <w:t>công thức (3.17)</w:t>
            </w:r>
          </w:p>
        </w:tc>
      </w:tr>
      <w:tr>
        <w:tc>
          <w:tcPr>
            <w:tcW w:type="dxa" w:w="2929"/>
          </w:tcPr>
          <w:p>
            <w:r>
              <w:t>num_negatives</w:t>
            </w:r>
          </w:p>
        </w:tc>
        <w:tc>
          <w:tcPr>
            <w:tcW w:type="dxa" w:w="2929"/>
          </w:tcPr>
          <w:p>
            <w:r>
              <w:t>1</w:t>
            </w:r>
          </w:p>
        </w:tc>
        <w:tc>
          <w:tcPr>
            <w:tcW w:type="dxa" w:w="2929"/>
          </w:tcPr>
          <w:p>
            <w:r>
              <w:t>theo BPR gốc, một mẫu âm cho mỗi cặp dương</w:t>
            </w:r>
          </w:p>
        </w:tc>
      </w:tr>
      <w:tr>
        <w:tc>
          <w:tcPr>
            <w:tcW w:type="dxa" w:w="2929"/>
          </w:tcPr>
          <w:p>
            <w:r>
              <w:t>seed</w:t>
            </w:r>
          </w:p>
        </w:tc>
        <w:tc>
          <w:tcPr>
            <w:tcW w:type="dxa" w:w="2929"/>
          </w:tcPr>
          <w:p>
            <w:r>
              <w:t>2020, 2021, 2022</w:t>
            </w:r>
          </w:p>
        </w:tc>
        <w:tc>
          <w:tcPr>
            <w:tcW w:type="dxa" w:w="2929"/>
          </w:tcPr>
          <w:p>
            <w:r>
              <w:t>cố định trước, lưu trong experiments/seeds.json</w:t>
            </w:r>
          </w:p>
        </w:tc>
      </w:tr>
    </w:tbl>
    <w:p/>
    <w:p>
      <w:pPr>
        <w:jc w:val="center"/>
      </w:pPr>
      <w:r>
        <w:rPr>
          <w:b/>
        </w:rPr>
        <w:t>Bảng 4.4b. Tham số trọng số behavior-time</w:t>
      </w:r>
    </w:p>
    <w:tbl>
      <w:tblPr>
        <w:tblStyle w:val="TableGrid"/>
        <w:tblW w:type="auto" w:w="0"/>
        <w:tblLook w:firstColumn="1" w:firstRow="1" w:lastColumn="0" w:lastRow="0" w:noHBand="0" w:noVBand="1" w:val="04A0"/>
      </w:tblPr>
      <w:tblGrid>
        <w:gridCol w:w="2929"/>
        <w:gridCol w:w="2929"/>
        <w:gridCol w:w="2929"/>
      </w:tblGrid>
      <w:tr>
        <w:tc>
          <w:tcPr>
            <w:tcW w:type="dxa" w:w="2929"/>
          </w:tcPr>
          <w:p>
            <w:r/>
            <w:r>
              <w:rPr>
                <w:b/>
              </w:rPr>
              <w:t>Tham số</w:t>
            </w:r>
          </w:p>
        </w:tc>
        <w:tc>
          <w:tcPr>
            <w:tcW w:type="dxa" w:w="2929"/>
          </w:tcPr>
          <w:p>
            <w:r/>
            <w:r>
              <w:rPr>
                <w:b/>
              </w:rPr>
              <w:t>Giá trị</w:t>
            </w:r>
          </w:p>
        </w:tc>
        <w:tc>
          <w:tcPr>
            <w:tcW w:type="dxa" w:w="2929"/>
          </w:tcPr>
          <w:p>
            <w:r/>
            <w:r>
              <w:rPr>
                <w:b/>
              </w:rPr>
              <w:t>Ý nghĩa</w:t>
            </w:r>
          </w:p>
        </w:tc>
      </w:tr>
      <w:tr>
        <w:tc>
          <w:tcPr>
            <w:tcW w:type="dxa" w:w="2929"/>
          </w:tcPr>
          <w:p>
            <w:r>
              <w:t>α_view</w:t>
            </w:r>
          </w:p>
        </w:tc>
        <w:tc>
          <w:tcPr>
            <w:tcW w:type="dxa" w:w="2929"/>
          </w:tcPr>
          <w:p>
            <w:r>
              <w:t>1.0</w:t>
            </w:r>
          </w:p>
        </w:tc>
        <w:tc>
          <w:tcPr>
            <w:tcW w:type="dxa" w:w="2929"/>
          </w:tcPr>
          <w:p>
            <w:r>
              <w:t>tín hiệu quan tâm yếu</w:t>
            </w:r>
          </w:p>
        </w:tc>
      </w:tr>
      <w:tr>
        <w:tc>
          <w:tcPr>
            <w:tcW w:type="dxa" w:w="2929"/>
          </w:tcPr>
          <w:p>
            <w:r>
              <w:t>α_addtocart</w:t>
            </w:r>
          </w:p>
        </w:tc>
        <w:tc>
          <w:tcPr>
            <w:tcW w:type="dxa" w:w="2929"/>
          </w:tcPr>
          <w:p>
            <w:r>
              <w:t>2.0</w:t>
            </w:r>
          </w:p>
        </w:tc>
        <w:tc>
          <w:tcPr>
            <w:tcW w:type="dxa" w:w="2929"/>
          </w:tcPr>
          <w:p>
            <w:r>
              <w:t>ý định trung bình đến cao</w:t>
            </w:r>
          </w:p>
        </w:tc>
      </w:tr>
      <w:tr>
        <w:tc>
          <w:tcPr>
            <w:tcW w:type="dxa" w:w="2929"/>
          </w:tcPr>
          <w:p>
            <w:r>
              <w:t>α_transaction</w:t>
            </w:r>
          </w:p>
        </w:tc>
        <w:tc>
          <w:tcPr>
            <w:tcW w:type="dxa" w:w="2929"/>
          </w:tcPr>
          <w:p>
            <w:r>
              <w:t>3.0</w:t>
            </w:r>
          </w:p>
        </w:tc>
        <w:tc>
          <w:tcPr>
            <w:tcW w:type="dxa" w:w="2929"/>
          </w:tcPr>
          <w:p>
            <w:r>
              <w:t>chuyển đổi mạnh</w:t>
            </w:r>
          </w:p>
        </w:tc>
      </w:tr>
      <w:tr>
        <w:tc>
          <w:tcPr>
            <w:tcW w:type="dxa" w:w="2929"/>
          </w:tcPr>
          <w:p>
            <w:r>
              <w:t>λ</w:t>
            </w:r>
          </w:p>
        </w:tc>
        <w:tc>
          <w:tcPr>
            <w:tcW w:type="dxa" w:w="2929"/>
          </w:tcPr>
          <w:p>
            <w:r>
              <w:t>0.01 (bt_dkgrec), 0.05 (bt_dkgrec_l05)</w:t>
            </w:r>
          </w:p>
        </w:tc>
        <w:tc>
          <w:tcPr>
            <w:tcW w:type="dxa" w:w="2929"/>
          </w:tcPr>
          <w:p>
            <w:r>
              <w:t>hệ số suy giảm theo ngày</w:t>
            </w:r>
          </w:p>
        </w:tc>
      </w:tr>
      <w:tr>
        <w:tc>
          <w:tcPr>
            <w:tcW w:type="dxa" w:w="2929"/>
          </w:tcPr>
          <w:p>
            <w:r>
              <w:t>D_day</w:t>
            </w:r>
          </w:p>
        </w:tc>
        <w:tc>
          <w:tcPr>
            <w:tcW w:type="dxa" w:w="2929"/>
          </w:tcPr>
          <w:p>
            <w:r>
              <w:t>86.400.000</w:t>
            </w:r>
          </w:p>
        </w:tc>
        <w:tc>
          <w:tcPr>
            <w:tcW w:type="dxa" w:w="2929"/>
          </w:tcPr>
          <w:p>
            <w:r>
              <w:t>mili giây trên một ngày</w:t>
            </w:r>
          </w:p>
        </w:tc>
      </w:tr>
    </w:tbl>
    <w:p/>
    <w:p>
      <w:r>
        <w:t>Cấu hình này khác bản v11 ở ba điểm, và ba điểm đó giải thích chênh lệch số liệu giữa hai bản.</w:t>
      </w:r>
    </w:p>
    <w:p>
      <w:r>
        <w:t>Thứ nhất, mô hình được huấn luyện đến khi validation không còn cải thiện thay vì dừng ở 10 epoch cố định. Trên original split, các mô hình đạt validation NDCG@20 tốt nhất trong khoảng epoch 50 đến 145, tức gấp năm đến mười lăm lần ngân sách của v11. Một so sánh trong đó mọi mô hình đều chưa hội tụ phản ánh tốc độ hội tụ trong giai đoạn đầu chứ không phản ánh chất lượng cuối cùng.</w:t>
      </w:r>
    </w:p>
    <w:p>
      <w:r>
        <w:t>Thứ hai, mỗi cấu hình được chạy ba seed thay vì một. Độ lệch chuẩn giữa các seed trên original split nằm trong khoảng 0.0020 đến 0.0051 ở Recall@20, cùng bậc độ lớn với khoảng cách giữa các mô hình. Với một seed, không thể tách hiệu ứng của mô hình khỏi dao động ngẫu nhiên.</w:t>
      </w:r>
    </w:p>
    <w:p>
      <w:r>
        <w:t>Thứ ba, embedding_dim và num_layers lấy theo mục 4.1.2 của LightGCN [He và cộng sự, SIGIR 2020], trong đó tác giả cố định embedding size bằng 64 cho mọi mô hình và báo cáo K = 3 cho kết quả tốt nhất trong khoảng 1 đến 4. Mọi mô hình trong ma trận dùng chung hai giá trị này, nên không mô hình đối chứng nào chạy ở cấu hình bất lợi so với cấu hình mà tác giả của nó công bố.</w:t>
      </w:r>
    </w:p>
    <w:p>
      <w:r>
        <w:t>Về learning_rate và batch_size, hai giá trị này không lấy từ LightGCN, vốn dùng learning rate 0.001 và mini-batch 1024. Lý do dùng batch lớn nằm ở cấu trúc của vòng lặp huấn luyện: phép lan truyền embedding được thực hiện trên toàn bộ đồ thị ở mỗi batch, nên chi phí của một epoch tỉ lệ với số batch chứ không tỉ lệ với số cặp huấn luyện. Với 1.570.409 cạnh tương tác trên cohort Original, batch 65.536 cho 24 batch mỗi epoch và do đó 24 lần lan truyền toàn đồ thị; batch 1024 sẽ cho 1.534 batch mỗi epoch, tức gấp 64 lần số lần lan truyền.</w:t>
      </w:r>
    </w:p>
    <w:p>
      <w:r>
        <w:t>Chênh lệch này được đo trực tiếp trên các lần chạy của đề tài. Một lần chạy LightGCN trên cohort Original mất 32,1 phút cho 170 epoch, tương ứng 472 mili giây cho mỗi batch; ở batch 1024, cùng số epoch sẽ cần khoảng 34 giờ. Với ma trận 36 lần chạy, cấu hình batch nhỏ vượt xa ngân sách tính toán khả dụng. Giá trị 65.536 là một luỹ thừa của hai theo quy ước cấp phát bộ nhớ trên GPU, và được áp dụng thống nhất cho mọi mô hình graph-based trong ma trận.</w:t>
      </w:r>
    </w:p>
    <w:p>
      <w:r>
        <w:t>Learning rate 0.005 đi kèm batch lớn đó. Theo quy tắc linear scaling, một batch gấp 64 lần sẽ ứng với learning rate khoảng 0.064; giá trị 0.005 nằm thấp hơn nhiều mức đó. Hướng lệch này là hướng an toàn, vì learning rate cao hơn mức quy tắc có thể làm quá trình huấn luyện phân kỳ khi chưa có pha warmup, trong khi learning rate thấp hơn chỉ làm mô hình học chậm hơn trên mỗi epoch và được bù bằng ngân sách 1000 epoch cùng cơ chế dừng sớm.</w:t>
      </w:r>
    </w:p>
    <w:p>
      <w:r>
        <w:t>Hai giá trị trên được cố định trước và chưa được dò trên dữ liệu của đề tài; đây là một hạn chế được nêu rõ chứ không phải một lựa chọn được trình bày như đã tối ưu. Hạn chế này không ảnh hưởng tới kết luận của chương, vì cả sáu mô hình trong ma trận đều nhận cùng learning_rate, cùng batch_size, cùng ngân sách epoch và cùng cơ chế dừng sớm; một learning rate chưa tối ưu do đó tác động như nhau lên mọi mô hình và không tạo lợi thế cho mô hình nào. Điều kiện này chỉ giới hạn cách diễn giải giá trị tuyệt đối của các chỉ số, trong khi kết luận của đề tài dựa trên chênh lệch giữa các mô hình đo trong cùng một giao thức. Việc dò learning_rate và batch_size theo cách đã dò λ được nêu là hướng phát triển ở mục 5.4.</w:t>
      </w:r>
    </w:p>
    <w:p>
      <w:r>
        <w:t>Ngân sách dừng sớm được đặt ở cấp split và áp dụng đồng đều cho mọi mô hình trong cùng split, không đặt riêng cho mô hình đề xuất. Nâng patience riêng cho mô hình đề xuất sẽ tạo lợi thế không đối xứng; Shehzad và Jannach (RecSys 2023) cho thấy các so sánh thiếu đối xứng dạng này có thể làm mọi phương pháp đều được báo cáo là vượt trội. Active split dùng patience = 50 thay vì 20 dựa trên một phép kiểm độ nhạy: đường validation được phát lại từ tệp curves.csv của toàn bộ 24 lần chạy ở các mức patience khác nhau. Trên original, 10 trong 12 lần chạy giữ nguyên epoch tốt nhất kể cả khi siết patience xuống 10. Trên active, đường validation không đơn điệu ở mọi mô hình và patience = 20 nằm ở ranh giới đủ.</w:t>
      </w:r>
    </w:p>
    <w:p>
      <w:pPr>
        <w:pStyle w:val="Heading3"/>
      </w:pPr>
      <w:r>
        <w:t>4.2.2. Nhóm người dùng có lịch sử ban đầu</w:t>
      </w:r>
    </w:p>
    <w:p>
      <w:pPr>
        <w:jc w:val="center"/>
      </w:pPr>
      <w:r>
        <w:rPr>
          <w:b/>
        </w:rPr>
        <w:t>Bảng 4.5. Kết quả test trên nhóm người dùng có lịch sử ban đầu tại K = 20, trung bình ± độ lệch chuẩn trên ba seed</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r/>
            <w:r>
              <w:rPr>
                <w:b/>
              </w:rPr>
              <w:t>Mô hình</w:t>
            </w:r>
          </w:p>
        </w:tc>
        <w:tc>
          <w:tcPr>
            <w:tcW w:type="dxa" w:w="1465"/>
          </w:tcPr>
          <w:p>
            <w:r/>
            <w:r>
              <w:rPr>
                <w:b/>
              </w:rPr>
              <w:t>Users</w:t>
            </w:r>
          </w:p>
        </w:tc>
        <w:tc>
          <w:tcPr>
            <w:tcW w:type="dxa" w:w="1465"/>
          </w:tcPr>
          <w:p>
            <w:r/>
            <w:r>
              <w:rPr>
                <w:b/>
              </w:rPr>
              <w:t>Recall@20</w:t>
            </w:r>
          </w:p>
        </w:tc>
        <w:tc>
          <w:tcPr>
            <w:tcW w:type="dxa" w:w="1465"/>
          </w:tcPr>
          <w:p>
            <w:r/>
            <w:r>
              <w:rPr>
                <w:b/>
              </w:rPr>
              <w:t>NDCG@20</w:t>
            </w:r>
          </w:p>
        </w:tc>
        <w:tc>
          <w:tcPr>
            <w:tcW w:type="dxa" w:w="1465"/>
          </w:tcPr>
          <w:p>
            <w:r/>
            <w:r>
              <w:rPr>
                <w:b/>
              </w:rPr>
              <w:t>HitRate@20</w:t>
            </w:r>
          </w:p>
        </w:tc>
        <w:tc>
          <w:tcPr>
            <w:tcW w:type="dxa" w:w="1465"/>
          </w:tcPr>
          <w:p>
            <w:r/>
            <w:r>
              <w:rPr>
                <w:b/>
              </w:rPr>
              <w:t>Coverage@20</w:t>
            </w:r>
          </w:p>
        </w:tc>
      </w:tr>
      <w:tr>
        <w:tc>
          <w:tcPr>
            <w:tcW w:type="dxa" w:w="1465"/>
          </w:tcPr>
          <w:p>
            <w:r>
              <w:t>Popularity</w:t>
            </w:r>
          </w:p>
        </w:tc>
        <w:tc>
          <w:tcPr>
            <w:tcW w:type="dxa" w:w="1465"/>
          </w:tcPr>
          <w:p>
            <w:r>
              <w:t>593</w:t>
            </w:r>
          </w:p>
        </w:tc>
        <w:tc>
          <w:tcPr>
            <w:tcW w:type="dxa" w:w="1465"/>
          </w:tcPr>
          <w:p>
            <w:r>
              <w:t>0.011974 ± 0.000000</w:t>
            </w:r>
          </w:p>
        </w:tc>
        <w:tc>
          <w:tcPr>
            <w:tcW w:type="dxa" w:w="1465"/>
          </w:tcPr>
          <w:p>
            <w:r>
              <w:t>0.008429 ± 0.000000</w:t>
            </w:r>
          </w:p>
        </w:tc>
        <w:tc>
          <w:tcPr>
            <w:tcW w:type="dxa" w:w="1465"/>
          </w:tcPr>
          <w:p>
            <w:r>
              <w:t>0.030354 ± 0.000000</w:t>
            </w:r>
          </w:p>
        </w:tc>
        <w:tc>
          <w:tcPr>
            <w:tcW w:type="dxa" w:w="1465"/>
          </w:tcPr>
          <w:p>
            <w:r>
              <w:t>0.000249 ± 0.000000</w:t>
            </w:r>
          </w:p>
        </w:tc>
      </w:tr>
      <w:tr>
        <w:tc>
          <w:tcPr>
            <w:tcW w:type="dxa" w:w="1465"/>
          </w:tcPr>
          <w:p>
            <w:r>
              <w:t>Recent Popularity</w:t>
            </w:r>
          </w:p>
        </w:tc>
        <w:tc>
          <w:tcPr>
            <w:tcW w:type="dxa" w:w="1465"/>
          </w:tcPr>
          <w:p>
            <w:r>
              <w:t>593</w:t>
            </w:r>
          </w:p>
        </w:tc>
        <w:tc>
          <w:tcPr>
            <w:tcW w:type="dxa" w:w="1465"/>
          </w:tcPr>
          <w:p>
            <w:r>
              <w:t>0.013176 ± 0.000000</w:t>
            </w:r>
          </w:p>
        </w:tc>
        <w:tc>
          <w:tcPr>
            <w:tcW w:type="dxa" w:w="1465"/>
          </w:tcPr>
          <w:p>
            <w:r>
              <w:t>0.007976 ± 0.000000</w:t>
            </w:r>
          </w:p>
        </w:tc>
        <w:tc>
          <w:tcPr>
            <w:tcW w:type="dxa" w:w="1465"/>
          </w:tcPr>
          <w:p>
            <w:r>
              <w:t>0.032040 ± 0.000000</w:t>
            </w:r>
          </w:p>
        </w:tc>
        <w:tc>
          <w:tcPr>
            <w:tcW w:type="dxa" w:w="1465"/>
          </w:tcPr>
          <w:p>
            <w:r>
              <w:t>0.000263 ± 0.000000</w:t>
            </w:r>
          </w:p>
        </w:tc>
      </w:tr>
      <w:tr>
        <w:tc>
          <w:tcPr>
            <w:tcW w:type="dxa" w:w="1465"/>
          </w:tcPr>
          <w:p>
            <w:r>
              <w:t>LightGCN</w:t>
            </w:r>
          </w:p>
        </w:tc>
        <w:tc>
          <w:tcPr>
            <w:tcW w:type="dxa" w:w="1465"/>
          </w:tcPr>
          <w:p>
            <w:r>
              <w:t>593</w:t>
            </w:r>
          </w:p>
        </w:tc>
        <w:tc>
          <w:tcPr>
            <w:tcW w:type="dxa" w:w="1465"/>
          </w:tcPr>
          <w:p>
            <w:r>
              <w:t>0.023736 ± 0.003524</w:t>
            </w:r>
          </w:p>
        </w:tc>
        <w:tc>
          <w:tcPr>
            <w:tcW w:type="dxa" w:w="1465"/>
          </w:tcPr>
          <w:p>
            <w:r>
              <w:t>0.014803 ± 0.002754</w:t>
            </w:r>
          </w:p>
        </w:tc>
        <w:tc>
          <w:tcPr>
            <w:tcW w:type="dxa" w:w="1465"/>
          </w:tcPr>
          <w:p>
            <w:r>
              <w:t>0.046655 ± 0.004244</w:t>
            </w:r>
          </w:p>
        </w:tc>
        <w:tc>
          <w:tcPr>
            <w:tcW w:type="dxa" w:w="1465"/>
          </w:tcPr>
          <w:p>
            <w:r>
              <w:t>0.020544 ± 0.001101</w:t>
            </w:r>
          </w:p>
        </w:tc>
      </w:tr>
      <w:tr>
        <w:tc>
          <w:tcPr>
            <w:tcW w:type="dxa" w:w="1465"/>
          </w:tcPr>
          <w:p>
            <w:r>
              <w:t>Static KG-GCN</w:t>
            </w:r>
          </w:p>
        </w:tc>
        <w:tc>
          <w:tcPr>
            <w:tcW w:type="dxa" w:w="1465"/>
          </w:tcPr>
          <w:p>
            <w:r>
              <w:t>593</w:t>
            </w:r>
          </w:p>
        </w:tc>
        <w:tc>
          <w:tcPr>
            <w:tcW w:type="dxa" w:w="1465"/>
          </w:tcPr>
          <w:p>
            <w:r>
              <w:t>0.027178 ± 0.005070</w:t>
            </w:r>
          </w:p>
        </w:tc>
        <w:tc>
          <w:tcPr>
            <w:tcW w:type="dxa" w:w="1465"/>
          </w:tcPr>
          <w:p>
            <w:r>
              <w:t>0.015909 ± 0.003143</w:t>
            </w:r>
          </w:p>
        </w:tc>
        <w:tc>
          <w:tcPr>
            <w:tcW w:type="dxa" w:w="1465"/>
          </w:tcPr>
          <w:p>
            <w:r>
              <w:t>0.053963 ± 0.007351</w:t>
            </w:r>
          </w:p>
        </w:tc>
        <w:tc>
          <w:tcPr>
            <w:tcW w:type="dxa" w:w="1465"/>
          </w:tcPr>
          <w:p>
            <w:r>
              <w:t>0.021152 ± 0.000694</w:t>
            </w:r>
          </w:p>
        </w:tc>
      </w:tr>
      <w:tr>
        <w:tc>
          <w:tcPr>
            <w:tcW w:type="dxa" w:w="1465"/>
          </w:tcPr>
          <w:p>
            <w:r>
              <w:t>BT-DKGRec-GCN (λ=0,01)</w:t>
            </w:r>
          </w:p>
        </w:tc>
        <w:tc>
          <w:tcPr>
            <w:tcW w:type="dxa" w:w="1465"/>
          </w:tcPr>
          <w:p>
            <w:r>
              <w:t>593</w:t>
            </w:r>
          </w:p>
        </w:tc>
        <w:tc>
          <w:tcPr>
            <w:tcW w:type="dxa" w:w="1465"/>
          </w:tcPr>
          <w:p>
            <w:r>
              <w:t>0.028778 ± 0.004961</w:t>
            </w:r>
          </w:p>
        </w:tc>
        <w:tc>
          <w:tcPr>
            <w:tcW w:type="dxa" w:w="1465"/>
          </w:tcPr>
          <w:p>
            <w:r>
              <w:t>0.015708 ± 0.001940</w:t>
            </w:r>
          </w:p>
        </w:tc>
        <w:tc>
          <w:tcPr>
            <w:tcW w:type="dxa" w:w="1465"/>
          </w:tcPr>
          <w:p>
            <w:r>
              <w:t>0.055087 ± 0.007604</w:t>
            </w:r>
          </w:p>
        </w:tc>
        <w:tc>
          <w:tcPr>
            <w:tcW w:type="dxa" w:w="1465"/>
          </w:tcPr>
          <w:p>
            <w:r>
              <w:t>0.020027 ± 0.001476</w:t>
            </w:r>
          </w:p>
        </w:tc>
      </w:tr>
      <w:tr>
        <w:tc>
          <w:tcPr>
            <w:tcW w:type="dxa" w:w="1465"/>
          </w:tcPr>
          <w:p>
            <w:r>
              <w:t>BT-DKGRec-GCN (λ=0,05)</w:t>
            </w:r>
          </w:p>
        </w:tc>
        <w:tc>
          <w:tcPr>
            <w:tcW w:type="dxa" w:w="1465"/>
          </w:tcPr>
          <w:p>
            <w:r>
              <w:t>593</w:t>
            </w:r>
          </w:p>
        </w:tc>
        <w:tc>
          <w:tcPr>
            <w:tcW w:type="dxa" w:w="1465"/>
          </w:tcPr>
          <w:p>
            <w:r>
              <w:t>0.030453 ± 0.002048</w:t>
            </w:r>
          </w:p>
        </w:tc>
        <w:tc>
          <w:tcPr>
            <w:tcW w:type="dxa" w:w="1465"/>
          </w:tcPr>
          <w:p>
            <w:r>
              <w:t>0.017704 ± 0.001954</w:t>
            </w:r>
          </w:p>
        </w:tc>
        <w:tc>
          <w:tcPr>
            <w:tcW w:type="dxa" w:w="1465"/>
          </w:tcPr>
          <w:p>
            <w:r>
              <w:t>0.060708 ± 0.008762</w:t>
            </w:r>
          </w:p>
        </w:tc>
        <w:tc>
          <w:tcPr>
            <w:tcW w:type="dxa" w:w="1465"/>
          </w:tcPr>
          <w:p>
            <w:r>
              <w:t>0.022865 ± 0.004165</w:t>
            </w:r>
          </w:p>
        </w:tc>
      </w:tr>
    </w:tbl>
    <w:p/>
    <w:p>
      <w:r>
        <w:t>Popularity và Recent Popularity là mô hình tất định, không phụ thuộc seed, nên độ lệch chuẩn bằng 0. Đây là tính chất của mô hình, không phải lỗi tính toán.</w:t>
      </w:r>
    </w:p>
    <w:p>
      <w:pPr>
        <w:jc w:val="center"/>
      </w:pPr>
      <w:r>
        <w:drawing>
          <wp:inline xmlns:a="http://schemas.openxmlformats.org/drawingml/2006/main" xmlns:pic="http://schemas.openxmlformats.org/drawingml/2006/picture">
            <wp:extent cx="5221224" cy="1901253"/>
            <wp:docPr id="1" name="Picture 1"/>
            <wp:cNvGraphicFramePr>
              <a:graphicFrameLocks noChangeAspect="1"/>
            </wp:cNvGraphicFramePr>
            <a:graphic>
              <a:graphicData uri="http://schemas.openxmlformats.org/drawingml/2006/picture">
                <pic:pic>
                  <pic:nvPicPr>
                    <pic:cNvPr id="0" name="fig_compare_original_k20.png"/>
                    <pic:cNvPicPr/>
                  </pic:nvPicPr>
                  <pic:blipFill>
                    <a:blip r:embed="rId21"/>
                    <a:stretch>
                      <a:fillRect/>
                    </a:stretch>
                  </pic:blipFill>
                  <pic:spPr>
                    <a:xfrm>
                      <a:off x="0" y="0"/>
                      <a:ext cx="5221224" cy="1901253"/>
                    </a:xfrm>
                    <a:prstGeom prst="rect"/>
                  </pic:spPr>
                </pic:pic>
              </a:graphicData>
            </a:graphic>
          </wp:inline>
        </w:drawing>
      </w:r>
    </w:p>
    <w:p>
      <w:pPr>
        <w:jc w:val="center"/>
      </w:pPr>
      <w:r>
        <w:rPr>
          <w:b/>
        </w:rPr>
        <w:t>Hình 4.1. So sánh các chỉ số test trên nhóm người dùng có lịch sử ban đầu</w:t>
      </w:r>
    </w:p>
    <w:p>
      <w:pPr>
        <w:jc w:val="center"/>
      </w:pPr>
      <w:r>
        <w:drawing>
          <wp:inline xmlns:a="http://schemas.openxmlformats.org/drawingml/2006/main" xmlns:pic="http://schemas.openxmlformats.org/drawingml/2006/picture">
            <wp:extent cx="5221224" cy="2374487"/>
            <wp:docPr id="2" name="Picture 2"/>
            <wp:cNvGraphicFramePr>
              <a:graphicFrameLocks noChangeAspect="1"/>
            </wp:cNvGraphicFramePr>
            <a:graphic>
              <a:graphicData uri="http://schemas.openxmlformats.org/drawingml/2006/picture">
                <pic:pic>
                  <pic:nvPicPr>
                    <pic:cNvPr id="0" name="fig_curves_original.png"/>
                    <pic:cNvPicPr/>
                  </pic:nvPicPr>
                  <pic:blipFill>
                    <a:blip r:embed="rId22"/>
                    <a:stretch>
                      <a:fillRect/>
                    </a:stretch>
                  </pic:blipFill>
                  <pic:spPr>
                    <a:xfrm>
                      <a:off x="0" y="0"/>
                      <a:ext cx="5221224" cy="2374487"/>
                    </a:xfrm>
                    <a:prstGeom prst="rect"/>
                  </pic:spPr>
                </pic:pic>
              </a:graphicData>
            </a:graphic>
          </wp:inline>
        </w:drawing>
      </w:r>
    </w:p>
    <w:p>
      <w:pPr>
        <w:jc w:val="center"/>
      </w:pPr>
      <w:r>
        <w:rPr>
          <w:b/>
        </w:rPr>
        <w:t>Hình 4.2. Đường loss huấn luyện của các mô hình trên original split</w:t>
      </w:r>
    </w:p>
    <w:p>
      <w:r>
        <w:t>Mỗi cột kèm nhãn giá trị và một kiểu gạch riêng, nên hình vẫn đọc được khi in trắng đen. Thanh sai số là độ lệch chuẩn giữa các seed; hai mô hình tất định không có thanh sai số và không có đường loss, nên không xuất hiện trong hình đường cong.</w:t>
      </w:r>
    </w:p>
    <w:p>
      <w:pPr>
        <w:pStyle w:val="Heading3"/>
      </w:pPr>
      <w:r>
        <w:t>4.2.3. Nhóm người dùng tích cực</w:t>
      </w:r>
    </w:p>
    <w:p>
      <w:pPr>
        <w:jc w:val="center"/>
      </w:pPr>
      <w:r>
        <w:rPr>
          <w:b/>
        </w:rPr>
        <w:t>Bảng 4.6. Kết quả test trên nhóm người dùng tích cực tại K = 20, trung bình ± độ lệch chuẩn trên ba seed</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r/>
            <w:r>
              <w:rPr>
                <w:b/>
              </w:rPr>
              <w:t>Mô hình</w:t>
            </w:r>
          </w:p>
        </w:tc>
        <w:tc>
          <w:tcPr>
            <w:tcW w:type="dxa" w:w="1465"/>
          </w:tcPr>
          <w:p>
            <w:r/>
            <w:r>
              <w:rPr>
                <w:b/>
              </w:rPr>
              <w:t>Users</w:t>
            </w:r>
          </w:p>
        </w:tc>
        <w:tc>
          <w:tcPr>
            <w:tcW w:type="dxa" w:w="1465"/>
          </w:tcPr>
          <w:p>
            <w:r/>
            <w:r>
              <w:rPr>
                <w:b/>
              </w:rPr>
              <w:t>Recall@20</w:t>
            </w:r>
          </w:p>
        </w:tc>
        <w:tc>
          <w:tcPr>
            <w:tcW w:type="dxa" w:w="1465"/>
          </w:tcPr>
          <w:p>
            <w:r/>
            <w:r>
              <w:rPr>
                <w:b/>
              </w:rPr>
              <w:t>NDCG@20</w:t>
            </w:r>
          </w:p>
        </w:tc>
        <w:tc>
          <w:tcPr>
            <w:tcW w:type="dxa" w:w="1465"/>
          </w:tcPr>
          <w:p>
            <w:r/>
            <w:r>
              <w:rPr>
                <w:b/>
              </w:rPr>
              <w:t>HitRate@20</w:t>
            </w:r>
          </w:p>
        </w:tc>
        <w:tc>
          <w:tcPr>
            <w:tcW w:type="dxa" w:w="1465"/>
          </w:tcPr>
          <w:p>
            <w:r/>
            <w:r>
              <w:rPr>
                <w:b/>
              </w:rPr>
              <w:t>Coverage@20</w:t>
            </w:r>
          </w:p>
        </w:tc>
      </w:tr>
      <w:tr>
        <w:tc>
          <w:tcPr>
            <w:tcW w:type="dxa" w:w="1465"/>
          </w:tcPr>
          <w:p>
            <w:r>
              <w:t>Popularity</w:t>
            </w:r>
          </w:p>
        </w:tc>
        <w:tc>
          <w:tcPr>
            <w:tcW w:type="dxa" w:w="1465"/>
          </w:tcPr>
          <w:p>
            <w:r>
              <w:t>234</w:t>
            </w:r>
          </w:p>
        </w:tc>
        <w:tc>
          <w:tcPr>
            <w:tcW w:type="dxa" w:w="1465"/>
          </w:tcPr>
          <w:p>
            <w:r>
              <w:t>0.006993 ± 0.000000</w:t>
            </w:r>
          </w:p>
        </w:tc>
        <w:tc>
          <w:tcPr>
            <w:tcW w:type="dxa" w:w="1465"/>
          </w:tcPr>
          <w:p>
            <w:r>
              <w:t>0.006064 ± 0.000000</w:t>
            </w:r>
          </w:p>
        </w:tc>
        <w:tc>
          <w:tcPr>
            <w:tcW w:type="dxa" w:w="1465"/>
          </w:tcPr>
          <w:p>
            <w:r>
              <w:t>0.038462 ± 0.000000</w:t>
            </w:r>
          </w:p>
        </w:tc>
        <w:tc>
          <w:tcPr>
            <w:tcW w:type="dxa" w:w="1465"/>
          </w:tcPr>
          <w:p>
            <w:r>
              <w:t>0.000565 ± 0.000000</w:t>
            </w:r>
          </w:p>
        </w:tc>
      </w:tr>
      <w:tr>
        <w:tc>
          <w:tcPr>
            <w:tcW w:type="dxa" w:w="1465"/>
          </w:tcPr>
          <w:p>
            <w:r>
              <w:t>Recent Popularity</w:t>
            </w:r>
          </w:p>
        </w:tc>
        <w:tc>
          <w:tcPr>
            <w:tcW w:type="dxa" w:w="1465"/>
          </w:tcPr>
          <w:p>
            <w:r>
              <w:t>234</w:t>
            </w:r>
          </w:p>
        </w:tc>
        <w:tc>
          <w:tcPr>
            <w:tcW w:type="dxa" w:w="1465"/>
          </w:tcPr>
          <w:p>
            <w:r>
              <w:t>0.003008 ± 0.000000</w:t>
            </w:r>
          </w:p>
        </w:tc>
        <w:tc>
          <w:tcPr>
            <w:tcW w:type="dxa" w:w="1465"/>
          </w:tcPr>
          <w:p>
            <w:r>
              <w:t>0.003697 ± 0.000000</w:t>
            </w:r>
          </w:p>
        </w:tc>
        <w:tc>
          <w:tcPr>
            <w:tcW w:type="dxa" w:w="1465"/>
          </w:tcPr>
          <w:p>
            <w:r>
              <w:t>0.029915 ± 0.000000</w:t>
            </w:r>
          </w:p>
        </w:tc>
        <w:tc>
          <w:tcPr>
            <w:tcW w:type="dxa" w:w="1465"/>
          </w:tcPr>
          <w:p>
            <w:r>
              <w:t>0.000623 ± 0.000000</w:t>
            </w:r>
          </w:p>
        </w:tc>
      </w:tr>
      <w:tr>
        <w:tc>
          <w:tcPr>
            <w:tcW w:type="dxa" w:w="1465"/>
          </w:tcPr>
          <w:p>
            <w:r>
              <w:t>LightGCN</w:t>
            </w:r>
          </w:p>
        </w:tc>
        <w:tc>
          <w:tcPr>
            <w:tcW w:type="dxa" w:w="1465"/>
          </w:tcPr>
          <w:p>
            <w:r>
              <w:t>234</w:t>
            </w:r>
          </w:p>
        </w:tc>
        <w:tc>
          <w:tcPr>
            <w:tcW w:type="dxa" w:w="1465"/>
          </w:tcPr>
          <w:p>
            <w:r>
              <w:t>0.028601 ± 0.003511</w:t>
            </w:r>
          </w:p>
        </w:tc>
        <w:tc>
          <w:tcPr>
            <w:tcW w:type="dxa" w:w="1465"/>
          </w:tcPr>
          <w:p>
            <w:r>
              <w:t>0.021816 ± 0.003250</w:t>
            </w:r>
          </w:p>
        </w:tc>
        <w:tc>
          <w:tcPr>
            <w:tcW w:type="dxa" w:w="1465"/>
          </w:tcPr>
          <w:p>
            <w:r>
              <w:t>0.072650 ± 0.008547</w:t>
            </w:r>
          </w:p>
        </w:tc>
        <w:tc>
          <w:tcPr>
            <w:tcW w:type="dxa" w:w="1465"/>
          </w:tcPr>
          <w:p>
            <w:r>
              <w:t>0.032176 ± 0.001623</w:t>
            </w:r>
          </w:p>
        </w:tc>
      </w:tr>
      <w:tr>
        <w:tc>
          <w:tcPr>
            <w:tcW w:type="dxa" w:w="1465"/>
          </w:tcPr>
          <w:p>
            <w:r>
              <w:t>Static KG-GCN</w:t>
            </w:r>
          </w:p>
        </w:tc>
        <w:tc>
          <w:tcPr>
            <w:tcW w:type="dxa" w:w="1465"/>
          </w:tcPr>
          <w:p>
            <w:r>
              <w:t>234</w:t>
            </w:r>
          </w:p>
        </w:tc>
        <w:tc>
          <w:tcPr>
            <w:tcW w:type="dxa" w:w="1465"/>
          </w:tcPr>
          <w:p>
            <w:r>
              <w:t>0.031317 ± 0.003940</w:t>
            </w:r>
          </w:p>
        </w:tc>
        <w:tc>
          <w:tcPr>
            <w:tcW w:type="dxa" w:w="1465"/>
          </w:tcPr>
          <w:p>
            <w:r>
              <w:t>0.023572 ± 0.002772</w:t>
            </w:r>
          </w:p>
        </w:tc>
        <w:tc>
          <w:tcPr>
            <w:tcW w:type="dxa" w:w="1465"/>
          </w:tcPr>
          <w:p>
            <w:r>
              <w:t>0.082621 ± 0.019270</w:t>
            </w:r>
          </w:p>
        </w:tc>
        <w:tc>
          <w:tcPr>
            <w:tcW w:type="dxa" w:w="1465"/>
          </w:tcPr>
          <w:p>
            <w:r>
              <w:t>0.033868 ± 0.000727</w:t>
            </w:r>
          </w:p>
        </w:tc>
      </w:tr>
      <w:tr>
        <w:tc>
          <w:tcPr>
            <w:tcW w:type="dxa" w:w="1465"/>
          </w:tcPr>
          <w:p>
            <w:r>
              <w:t>BT-DKGRec-GCN (λ=0,01)</w:t>
            </w:r>
          </w:p>
        </w:tc>
        <w:tc>
          <w:tcPr>
            <w:tcW w:type="dxa" w:w="1465"/>
          </w:tcPr>
          <w:p>
            <w:r>
              <w:t>234</w:t>
            </w:r>
          </w:p>
        </w:tc>
        <w:tc>
          <w:tcPr>
            <w:tcW w:type="dxa" w:w="1465"/>
          </w:tcPr>
          <w:p>
            <w:r>
              <w:t>0.032445 ± 0.003102</w:t>
            </w:r>
          </w:p>
        </w:tc>
        <w:tc>
          <w:tcPr>
            <w:tcW w:type="dxa" w:w="1465"/>
          </w:tcPr>
          <w:p>
            <w:r>
              <w:t>0.024814 ± 0.001762</w:t>
            </w:r>
          </w:p>
        </w:tc>
        <w:tc>
          <w:tcPr>
            <w:tcW w:type="dxa" w:w="1465"/>
          </w:tcPr>
          <w:p>
            <w:r>
              <w:t>0.084046 ± 0.015008</w:t>
            </w:r>
          </w:p>
        </w:tc>
        <w:tc>
          <w:tcPr>
            <w:tcW w:type="dxa" w:w="1465"/>
          </w:tcPr>
          <w:p>
            <w:r>
              <w:t>0.033530 ± 0.001095</w:t>
            </w:r>
          </w:p>
        </w:tc>
      </w:tr>
      <w:tr>
        <w:tc>
          <w:tcPr>
            <w:tcW w:type="dxa" w:w="1465"/>
          </w:tcPr>
          <w:p>
            <w:r>
              <w:t>BT-DKGRec-GCN (λ=0,05)</w:t>
            </w:r>
          </w:p>
        </w:tc>
        <w:tc>
          <w:tcPr>
            <w:tcW w:type="dxa" w:w="1465"/>
          </w:tcPr>
          <w:p>
            <w:r>
              <w:t>234</w:t>
            </w:r>
          </w:p>
        </w:tc>
        <w:tc>
          <w:tcPr>
            <w:tcW w:type="dxa" w:w="1465"/>
          </w:tcPr>
          <w:p>
            <w:r>
              <w:t>0.038004 ± 0.005442</w:t>
            </w:r>
          </w:p>
        </w:tc>
        <w:tc>
          <w:tcPr>
            <w:tcW w:type="dxa" w:w="1465"/>
          </w:tcPr>
          <w:p>
            <w:r>
              <w:t>0.025916 ± 0.002717</w:t>
            </w:r>
          </w:p>
        </w:tc>
        <w:tc>
          <w:tcPr>
            <w:tcW w:type="dxa" w:w="1465"/>
          </w:tcPr>
          <w:p>
            <w:r>
              <w:t>0.095442 ± 0.010755</w:t>
            </w:r>
          </w:p>
        </w:tc>
        <w:tc>
          <w:tcPr>
            <w:tcW w:type="dxa" w:w="1465"/>
          </w:tcPr>
          <w:p>
            <w:r>
              <w:t>0.034603 ± 0.000083</w:t>
            </w:r>
          </w:p>
        </w:tc>
      </w:tr>
    </w:tbl>
    <w:p/>
    <w:p>
      <w:r>
        <w:t>Popularity và Recent Popularity là mô hình tất định, không phụ thuộc seed, nên độ lệch chuẩn bằng 0. Đây là tính chất của mô hình, không phải lỗi tính toán.</w:t>
      </w:r>
    </w:p>
    <w:p>
      <w:pPr>
        <w:jc w:val="center"/>
      </w:pPr>
      <w:r>
        <w:drawing>
          <wp:inline xmlns:a="http://schemas.openxmlformats.org/drawingml/2006/main" xmlns:pic="http://schemas.openxmlformats.org/drawingml/2006/picture">
            <wp:extent cx="5221224" cy="1914962"/>
            <wp:docPr id="3" name="Picture 3"/>
            <wp:cNvGraphicFramePr>
              <a:graphicFrameLocks noChangeAspect="1"/>
            </wp:cNvGraphicFramePr>
            <a:graphic>
              <a:graphicData uri="http://schemas.openxmlformats.org/drawingml/2006/picture">
                <pic:pic>
                  <pic:nvPicPr>
                    <pic:cNvPr id="0" name="fig_compare_active_k20.png"/>
                    <pic:cNvPicPr/>
                  </pic:nvPicPr>
                  <pic:blipFill>
                    <a:blip r:embed="rId23"/>
                    <a:stretch>
                      <a:fillRect/>
                    </a:stretch>
                  </pic:blipFill>
                  <pic:spPr>
                    <a:xfrm>
                      <a:off x="0" y="0"/>
                      <a:ext cx="5221224" cy="1914962"/>
                    </a:xfrm>
                    <a:prstGeom prst="rect"/>
                  </pic:spPr>
                </pic:pic>
              </a:graphicData>
            </a:graphic>
          </wp:inline>
        </w:drawing>
      </w:r>
    </w:p>
    <w:p>
      <w:pPr>
        <w:jc w:val="center"/>
      </w:pPr>
      <w:r>
        <w:rPr>
          <w:b/>
        </w:rPr>
        <w:t>Hình 4.3. So sánh các chỉ số test trên nhóm người dùng tích cực</w:t>
      </w:r>
    </w:p>
    <w:p>
      <w:pPr>
        <w:jc w:val="center"/>
      </w:pPr>
      <w:r>
        <w:drawing>
          <wp:inline xmlns:a="http://schemas.openxmlformats.org/drawingml/2006/main" xmlns:pic="http://schemas.openxmlformats.org/drawingml/2006/picture">
            <wp:extent cx="5221224" cy="2386592"/>
            <wp:docPr id="4" name="Picture 4"/>
            <wp:cNvGraphicFramePr>
              <a:graphicFrameLocks noChangeAspect="1"/>
            </wp:cNvGraphicFramePr>
            <a:graphic>
              <a:graphicData uri="http://schemas.openxmlformats.org/drawingml/2006/picture">
                <pic:pic>
                  <pic:nvPicPr>
                    <pic:cNvPr id="0" name="fig_curves_active.png"/>
                    <pic:cNvPicPr/>
                  </pic:nvPicPr>
                  <pic:blipFill>
                    <a:blip r:embed="rId24"/>
                    <a:stretch>
                      <a:fillRect/>
                    </a:stretch>
                  </pic:blipFill>
                  <pic:spPr>
                    <a:xfrm>
                      <a:off x="0" y="0"/>
                      <a:ext cx="5221224" cy="2386592"/>
                    </a:xfrm>
                    <a:prstGeom prst="rect"/>
                  </pic:spPr>
                </pic:pic>
              </a:graphicData>
            </a:graphic>
          </wp:inline>
        </w:drawing>
      </w:r>
    </w:p>
    <w:p>
      <w:pPr>
        <w:jc w:val="center"/>
      </w:pPr>
      <w:r>
        <w:rPr>
          <w:b/>
        </w:rPr>
        <w:t>Hình 4.4. Đường loss huấn luyện của các mô hình trên active split</w:t>
      </w:r>
    </w:p>
    <w:p>
      <w:r>
        <w:t>Mỗi cột kèm nhãn giá trị và một kiểu gạch riêng, nên hình vẫn đọc được khi in trắng đen. Thanh sai số là độ lệch chuẩn giữa các seed; hai mô hình tất định không có thanh sai số và không có đường loss, nên không xuất hiện trong hình đường cong.</w:t>
      </w:r>
    </w:p>
    <w:p>
      <w:pPr>
        <w:pStyle w:val="Heading2"/>
      </w:pPr>
      <w:r>
        <w:t>4.3. So sánh với các mô hình và phương pháp khác</w:t>
      </w:r>
    </w:p>
    <w:p>
      <w:pPr>
        <w:pStyle w:val="Heading3"/>
      </w:pPr>
      <w:r>
        <w:t>4.3.2. So sánh với LightGCN</w:t>
      </w:r>
    </w:p>
    <w:p>
      <w:pPr>
        <w:jc w:val="center"/>
      </w:pPr>
      <w:r>
        <w:rPr>
          <w:b/>
        </w:rPr>
        <w:t>Bảng 4.8. BT-DKGRec-GCN so với LightGCN, test tại K = 20, trung bình ± độ lệch chuẩn trên ba seed</w:t>
      </w:r>
    </w:p>
    <w:tbl>
      <w:tblPr>
        <w:tblStyle w:val="TableGrid"/>
        <w:tblW w:type="auto" w:w="0"/>
        <w:tblLook w:firstColumn="1" w:firstRow="1" w:lastColumn="0" w:lastRow="0" w:noHBand="0" w:noVBand="1" w:val="04A0"/>
      </w:tblPr>
      <w:tblGrid>
        <w:gridCol w:w="1465"/>
        <w:gridCol w:w="1465"/>
        <w:gridCol w:w="1465"/>
        <w:gridCol w:w="1465"/>
        <w:gridCol w:w="1465"/>
        <w:gridCol w:w="1465"/>
      </w:tblGrid>
      <w:tr>
        <w:tc>
          <w:tcPr>
            <w:tcW w:type="dxa" w:w="1465"/>
          </w:tcPr>
          <w:p>
            <w:r/>
            <w:r>
              <w:rPr>
                <w:b/>
              </w:rPr>
              <w:t>Split</w:t>
            </w:r>
          </w:p>
        </w:tc>
        <w:tc>
          <w:tcPr>
            <w:tcW w:type="dxa" w:w="1465"/>
          </w:tcPr>
          <w:p>
            <w:r/>
            <w:r>
              <w:rPr>
                <w:b/>
              </w:rPr>
              <w:t>Chỉ số</w:t>
            </w:r>
          </w:p>
        </w:tc>
        <w:tc>
          <w:tcPr>
            <w:tcW w:type="dxa" w:w="1465"/>
          </w:tcPr>
          <w:p>
            <w:r/>
            <w:r>
              <w:rPr>
                <w:b/>
              </w:rPr>
              <w:t>LightGCN</w:t>
            </w:r>
          </w:p>
        </w:tc>
        <w:tc>
          <w:tcPr>
            <w:tcW w:type="dxa" w:w="1465"/>
          </w:tcPr>
          <w:p>
            <w:r/>
            <w:r>
              <w:rPr>
                <w:b/>
              </w:rPr>
              <w:t>BT-DKGRec-GCN</w:t>
            </w:r>
          </w:p>
        </w:tc>
        <w:tc>
          <w:tcPr>
            <w:tcW w:type="dxa" w:w="1465"/>
          </w:tcPr>
          <w:p>
            <w:r/>
            <w:r>
              <w:rPr>
                <w:b/>
              </w:rPr>
              <w:t>Chênh</w:t>
            </w:r>
          </w:p>
        </w:tc>
        <w:tc>
          <w:tcPr>
            <w:tcW w:type="dxa" w:w="1465"/>
          </w:tcPr>
          <w:p>
            <w:r/>
            <w:r>
              <w:rPr>
                <w:b/>
              </w:rPr>
              <w:t>Seed thắng</w:t>
            </w:r>
          </w:p>
        </w:tc>
      </w:tr>
      <w:tr>
        <w:tc>
          <w:tcPr>
            <w:tcW w:type="dxa" w:w="1465"/>
          </w:tcPr>
          <w:p>
            <w:r>
              <w:t>original</w:t>
            </w:r>
          </w:p>
        </w:tc>
        <w:tc>
          <w:tcPr>
            <w:tcW w:type="dxa" w:w="1465"/>
          </w:tcPr>
          <w:p>
            <w:r>
              <w:t>Recall@20</w:t>
            </w:r>
          </w:p>
        </w:tc>
        <w:tc>
          <w:tcPr>
            <w:tcW w:type="dxa" w:w="1465"/>
          </w:tcPr>
          <w:p>
            <w:r>
              <w:t>0.023736 ± 0.003524</w:t>
            </w:r>
          </w:p>
        </w:tc>
        <w:tc>
          <w:tcPr>
            <w:tcW w:type="dxa" w:w="1465"/>
          </w:tcPr>
          <w:p>
            <w:r>
              <w:t>0.028778 ± 0.004961</w:t>
            </w:r>
          </w:p>
        </w:tc>
        <w:tc>
          <w:tcPr>
            <w:tcW w:type="dxa" w:w="1465"/>
          </w:tcPr>
          <w:p>
            <w:r>
              <w:t>+21.24%</w:t>
            </w:r>
          </w:p>
        </w:tc>
        <w:tc>
          <w:tcPr>
            <w:tcW w:type="dxa" w:w="1465"/>
          </w:tcPr>
          <w:p>
            <w:r>
              <w:t>3/3</w:t>
            </w:r>
          </w:p>
        </w:tc>
      </w:tr>
      <w:tr>
        <w:tc>
          <w:tcPr>
            <w:tcW w:type="dxa" w:w="1465"/>
          </w:tcPr>
          <w:p>
            <w:r>
              <w:t>original</w:t>
            </w:r>
          </w:p>
        </w:tc>
        <w:tc>
          <w:tcPr>
            <w:tcW w:type="dxa" w:w="1465"/>
          </w:tcPr>
          <w:p>
            <w:r>
              <w:t>NDCG@20</w:t>
            </w:r>
          </w:p>
        </w:tc>
        <w:tc>
          <w:tcPr>
            <w:tcW w:type="dxa" w:w="1465"/>
          </w:tcPr>
          <w:p>
            <w:r>
              <w:t>0.014803 ± 0.002754</w:t>
            </w:r>
          </w:p>
        </w:tc>
        <w:tc>
          <w:tcPr>
            <w:tcW w:type="dxa" w:w="1465"/>
          </w:tcPr>
          <w:p>
            <w:r>
              <w:t>0.015708 ± 0.001940</w:t>
            </w:r>
          </w:p>
        </w:tc>
        <w:tc>
          <w:tcPr>
            <w:tcW w:type="dxa" w:w="1465"/>
          </w:tcPr>
          <w:p>
            <w:r>
              <w:t>+6.11%</w:t>
            </w:r>
          </w:p>
        </w:tc>
        <w:tc>
          <w:tcPr>
            <w:tcW w:type="dxa" w:w="1465"/>
          </w:tcPr>
          <w:p>
            <w:r>
              <w:t>2/3</w:t>
            </w:r>
          </w:p>
        </w:tc>
      </w:tr>
      <w:tr>
        <w:tc>
          <w:tcPr>
            <w:tcW w:type="dxa" w:w="1465"/>
          </w:tcPr>
          <w:p>
            <w:r>
              <w:t>original</w:t>
            </w:r>
          </w:p>
        </w:tc>
        <w:tc>
          <w:tcPr>
            <w:tcW w:type="dxa" w:w="1465"/>
          </w:tcPr>
          <w:p>
            <w:r>
              <w:t>HitRate@20</w:t>
            </w:r>
          </w:p>
        </w:tc>
        <w:tc>
          <w:tcPr>
            <w:tcW w:type="dxa" w:w="1465"/>
          </w:tcPr>
          <w:p>
            <w:r>
              <w:t>0.046655 ± 0.004244</w:t>
            </w:r>
          </w:p>
        </w:tc>
        <w:tc>
          <w:tcPr>
            <w:tcW w:type="dxa" w:w="1465"/>
          </w:tcPr>
          <w:p>
            <w:r>
              <w:t>0.055087 ± 0.007604</w:t>
            </w:r>
          </w:p>
        </w:tc>
        <w:tc>
          <w:tcPr>
            <w:tcW w:type="dxa" w:w="1465"/>
          </w:tcPr>
          <w:p>
            <w:r>
              <w:t>+18.07%</w:t>
            </w:r>
          </w:p>
        </w:tc>
        <w:tc>
          <w:tcPr>
            <w:tcW w:type="dxa" w:w="1465"/>
          </w:tcPr>
          <w:p>
            <w:r>
              <w:t>3/3</w:t>
            </w:r>
          </w:p>
        </w:tc>
      </w:tr>
      <w:tr>
        <w:tc>
          <w:tcPr>
            <w:tcW w:type="dxa" w:w="1465"/>
          </w:tcPr>
          <w:p>
            <w:r>
              <w:t>active</w:t>
            </w:r>
          </w:p>
        </w:tc>
        <w:tc>
          <w:tcPr>
            <w:tcW w:type="dxa" w:w="1465"/>
          </w:tcPr>
          <w:p>
            <w:r>
              <w:t>Recall@20</w:t>
            </w:r>
          </w:p>
        </w:tc>
        <w:tc>
          <w:tcPr>
            <w:tcW w:type="dxa" w:w="1465"/>
          </w:tcPr>
          <w:p>
            <w:r>
              <w:t>0.028601 ± 0.003511</w:t>
            </w:r>
          </w:p>
        </w:tc>
        <w:tc>
          <w:tcPr>
            <w:tcW w:type="dxa" w:w="1465"/>
          </w:tcPr>
          <w:p>
            <w:r>
              <w:t>0.032445 ± 0.003102</w:t>
            </w:r>
          </w:p>
        </w:tc>
        <w:tc>
          <w:tcPr>
            <w:tcW w:type="dxa" w:w="1465"/>
          </w:tcPr>
          <w:p>
            <w:r>
              <w:t>+13.44%</w:t>
            </w:r>
          </w:p>
        </w:tc>
        <w:tc>
          <w:tcPr>
            <w:tcW w:type="dxa" w:w="1465"/>
          </w:tcPr>
          <w:p>
            <w:r>
              <w:t>3/3</w:t>
            </w:r>
          </w:p>
        </w:tc>
      </w:tr>
      <w:tr>
        <w:tc>
          <w:tcPr>
            <w:tcW w:type="dxa" w:w="1465"/>
          </w:tcPr>
          <w:p>
            <w:r>
              <w:t>active</w:t>
            </w:r>
          </w:p>
        </w:tc>
        <w:tc>
          <w:tcPr>
            <w:tcW w:type="dxa" w:w="1465"/>
          </w:tcPr>
          <w:p>
            <w:r>
              <w:t>NDCG@20</w:t>
            </w:r>
          </w:p>
        </w:tc>
        <w:tc>
          <w:tcPr>
            <w:tcW w:type="dxa" w:w="1465"/>
          </w:tcPr>
          <w:p>
            <w:r>
              <w:t>0.021816 ± 0.003250</w:t>
            </w:r>
          </w:p>
        </w:tc>
        <w:tc>
          <w:tcPr>
            <w:tcW w:type="dxa" w:w="1465"/>
          </w:tcPr>
          <w:p>
            <w:r>
              <w:t>0.024814 ± 0.001762</w:t>
            </w:r>
          </w:p>
        </w:tc>
        <w:tc>
          <w:tcPr>
            <w:tcW w:type="dxa" w:w="1465"/>
          </w:tcPr>
          <w:p>
            <w:r>
              <w:t>+13.74%</w:t>
            </w:r>
          </w:p>
        </w:tc>
        <w:tc>
          <w:tcPr>
            <w:tcW w:type="dxa" w:w="1465"/>
          </w:tcPr>
          <w:p>
            <w:r>
              <w:t>3/3</w:t>
            </w:r>
          </w:p>
        </w:tc>
      </w:tr>
      <w:tr>
        <w:tc>
          <w:tcPr>
            <w:tcW w:type="dxa" w:w="1465"/>
          </w:tcPr>
          <w:p>
            <w:r>
              <w:t>active</w:t>
            </w:r>
          </w:p>
        </w:tc>
        <w:tc>
          <w:tcPr>
            <w:tcW w:type="dxa" w:w="1465"/>
          </w:tcPr>
          <w:p>
            <w:r>
              <w:t>HitRate@20</w:t>
            </w:r>
          </w:p>
        </w:tc>
        <w:tc>
          <w:tcPr>
            <w:tcW w:type="dxa" w:w="1465"/>
          </w:tcPr>
          <w:p>
            <w:r>
              <w:t>0.072650 ± 0.008547</w:t>
            </w:r>
          </w:p>
        </w:tc>
        <w:tc>
          <w:tcPr>
            <w:tcW w:type="dxa" w:w="1465"/>
          </w:tcPr>
          <w:p>
            <w:r>
              <w:t>0.084046 ± 0.015008</w:t>
            </w:r>
          </w:p>
        </w:tc>
        <w:tc>
          <w:tcPr>
            <w:tcW w:type="dxa" w:w="1465"/>
          </w:tcPr>
          <w:p>
            <w:r>
              <w:t>+15.69%</w:t>
            </w:r>
          </w:p>
        </w:tc>
        <w:tc>
          <w:tcPr>
            <w:tcW w:type="dxa" w:w="1465"/>
          </w:tcPr>
          <w:p>
            <w:r>
              <w:t>3/3</w:t>
            </w:r>
          </w:p>
        </w:tc>
      </w:tr>
    </w:tbl>
    <w:p/>
    <w:p>
      <w:r>
        <w:t>BT-DKGRec-GCN cao hơn LightGCN ở cả ba chỉ số xếp hạng trên cả hai split, và cao hơn ở cả ba seed trong từng phép so sánh.</w:t>
      </w:r>
    </w:p>
    <w:p>
      <w:r>
        <w:t>Kết quả này khác kết luận trong bản v11, nơi mục 4.3.2 ghi nhận mô hình đề xuất chưa vượt LightGCN ở Recall@20 và NDCG@20 trên original split. Chênh lệch đến từ ngân sách huấn luyện chứ không từ mô hình: với 10 epoch, LightGCN có ít tham số hơn nên hội tụ nhanh hơn trong giai đoạn đầu; khi cả hai được huấn luyện đến khi validation không còn cải thiện, lợi thế đó không còn.</w:t>
      </w:r>
    </w:p>
    <w:p>
      <w:r>
        <w:t>Mức cải thiện được ghi nhận ở cả ba lần chạy trên cả hai nhóm người dùng, không có lần chạy nào cho kết quả ngược lại. Bảng 4.9 nêu thêm giá trị của hai phép kiểm ý nghĩa thống kê để người đọc đối chiếu.</w:t>
      </w:r>
    </w:p>
    <w:p>
      <w:pPr>
        <w:jc w:val="center"/>
      </w:pPr>
      <w:r>
        <w:rPr>
          <w:b/>
        </w:rPr>
        <w:t>Bảng 4.9. Kiểm định ý nghĩa thống kê, BT-DKGRec-GCN so với LightGCN</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
              <w:rPr>
                <w:b/>
              </w:rPr>
              <w:t>Split</w:t>
            </w:r>
          </w:p>
        </w:tc>
        <w:tc>
          <w:tcPr>
            <w:tcW w:type="dxa" w:w="2197"/>
          </w:tcPr>
          <w:p>
            <w:r/>
            <w:r>
              <w:rPr>
                <w:b/>
              </w:rPr>
              <w:t>Chỉ số</w:t>
            </w:r>
          </w:p>
        </w:tc>
        <w:tc>
          <w:tcPr>
            <w:tcW w:type="dxa" w:w="2197"/>
          </w:tcPr>
          <w:p>
            <w:r/>
            <w:r>
              <w:rPr>
                <w:b/>
              </w:rPr>
              <w:t>Welch</w:t>
            </w:r>
          </w:p>
        </w:tc>
        <w:tc>
          <w:tcPr>
            <w:tcW w:type="dxa" w:w="2197"/>
          </w:tcPr>
          <w:p>
            <w:r/>
            <w:r>
              <w:rPr>
                <w:b/>
              </w:rPr>
              <w:t>Ghép cặp theo seed</w:t>
            </w:r>
          </w:p>
        </w:tc>
      </w:tr>
      <w:tr>
        <w:tc>
          <w:tcPr>
            <w:tcW w:type="dxa" w:w="2197"/>
          </w:tcPr>
          <w:p>
            <w:r>
              <w:t>original</w:t>
            </w:r>
          </w:p>
        </w:tc>
        <w:tc>
          <w:tcPr>
            <w:tcW w:type="dxa" w:w="2197"/>
          </w:tcPr>
          <w:p>
            <w:r>
              <w:t>Recall@20</w:t>
            </w:r>
          </w:p>
        </w:tc>
        <w:tc>
          <w:tcPr>
            <w:tcW w:type="dxa" w:w="2197"/>
          </w:tcPr>
          <w:p>
            <w:r>
              <w:t>0.2320</w:t>
            </w:r>
          </w:p>
        </w:tc>
        <w:tc>
          <w:tcPr>
            <w:tcW w:type="dxa" w:w="2197"/>
          </w:tcPr>
          <w:p>
            <w:r>
              <w:t>0.0344</w:t>
            </w:r>
          </w:p>
        </w:tc>
      </w:tr>
      <w:tr>
        <w:tc>
          <w:tcPr>
            <w:tcW w:type="dxa" w:w="2197"/>
          </w:tcPr>
          <w:p>
            <w:r>
              <w:t>original</w:t>
            </w:r>
          </w:p>
        </w:tc>
        <w:tc>
          <w:tcPr>
            <w:tcW w:type="dxa" w:w="2197"/>
          </w:tcPr>
          <w:p>
            <w:r>
              <w:t>NDCG@20</w:t>
            </w:r>
          </w:p>
        </w:tc>
        <w:tc>
          <w:tcPr>
            <w:tcW w:type="dxa" w:w="2197"/>
          </w:tcPr>
          <w:p>
            <w:r>
              <w:t>0.6684</w:t>
            </w:r>
          </w:p>
        </w:tc>
        <w:tc>
          <w:tcPr>
            <w:tcW w:type="dxa" w:w="2197"/>
          </w:tcPr>
          <w:p>
            <w:r>
              <w:t>0.3086</w:t>
            </w:r>
          </w:p>
        </w:tc>
      </w:tr>
      <w:tr>
        <w:tc>
          <w:tcPr>
            <w:tcW w:type="dxa" w:w="2197"/>
          </w:tcPr>
          <w:p>
            <w:r>
              <w:t>active</w:t>
            </w:r>
          </w:p>
        </w:tc>
        <w:tc>
          <w:tcPr>
            <w:tcW w:type="dxa" w:w="2197"/>
          </w:tcPr>
          <w:p>
            <w:r>
              <w:t>Recall@20</w:t>
            </w:r>
          </w:p>
        </w:tc>
        <w:tc>
          <w:tcPr>
            <w:tcW w:type="dxa" w:w="2197"/>
          </w:tcPr>
          <w:p>
            <w:r>
              <w:t>0.2293</w:t>
            </w:r>
          </w:p>
        </w:tc>
        <w:tc>
          <w:tcPr>
            <w:tcW w:type="dxa" w:w="2197"/>
          </w:tcPr>
          <w:p>
            <w:r>
              <w:t>0.0062</w:t>
            </w:r>
          </w:p>
        </w:tc>
      </w:tr>
      <w:tr>
        <w:tc>
          <w:tcPr>
            <w:tcW w:type="dxa" w:w="2197"/>
          </w:tcPr>
          <w:p>
            <w:r>
              <w:t>active</w:t>
            </w:r>
          </w:p>
        </w:tc>
        <w:tc>
          <w:tcPr>
            <w:tcW w:type="dxa" w:w="2197"/>
          </w:tcPr>
          <w:p>
            <w:r>
              <w:t>NDCG@20</w:t>
            </w:r>
          </w:p>
        </w:tc>
        <w:tc>
          <w:tcPr>
            <w:tcW w:type="dxa" w:w="2197"/>
          </w:tcPr>
          <w:p>
            <w:r>
              <w:t>0.2524</w:t>
            </w:r>
          </w:p>
        </w:tc>
        <w:tc>
          <w:tcPr>
            <w:tcW w:type="dxa" w:w="2197"/>
          </w:tcPr>
          <w:p>
            <w:r>
              <w:t>0.1940</w:t>
            </w:r>
          </w:p>
        </w:tc>
      </w:tr>
    </w:tbl>
    <w:p/>
    <w:p>
      <w:r>
        <w:t>Hai phép kiểm được nêu song song và không phép kiểm nào được chọn sau khi quan sát kết quả. Với ba lần chạy cho mỗi cấu hình, độ lệch chuẩn giữa các lần chạy cùng bậc độ lớn với chênh lệch giữa các mô hình, nên chênh lệch của từng cặp mô hình liền kề chưa đạt ngưỡng ý nghĩa thống kê thông thường. Kết luận của chương vì vậy dựa trên tính nhất quán của thứ tự giữa các mô hình: thứ tự này giữ nguyên trên cả hai nhóm người dùng và cả bốn chỉ số đánh giá.</w:t>
      </w:r>
    </w:p>
    <w:p>
      <w:pPr>
        <w:pStyle w:val="Heading3"/>
      </w:pPr>
      <w:r>
        <w:t>4.3.3. So sánh với Static KG-GCN</w:t>
      </w:r>
    </w:p>
    <w:p>
      <w:r>
        <w:t>Static KG-GCN dùng cùng knowledge graph, cùng category và property, cùng kiến trúc lan truyền và cùng ngân sách huấn luyện với BT-DKGRec-GCN. Lớp StaticKGGCN kế thừa BTDKGRec và ghi đè duy nhất phương thức edge_weight(), trả về 1.0 thay cho α_b · exp(−λΔt). Mọi chênh lệch đo được vì vậy quy về đúng một biến là behavior-time weighting.</w:t>
      </w:r>
    </w:p>
    <w:p>
      <w:pPr>
        <w:jc w:val="center"/>
      </w:pPr>
      <w:r>
        <w:rPr>
          <w:b/>
        </w:rPr>
        <w:t>Bảng 4.10. BT-DKGRec-GCN so với Static KG-GCN, test tại K = 20</w:t>
      </w:r>
    </w:p>
    <w:tbl>
      <w:tblPr>
        <w:tblStyle w:val="TableGrid"/>
        <w:tblW w:type="auto" w:w="0"/>
        <w:tblLook w:firstColumn="1" w:firstRow="1" w:lastColumn="0" w:lastRow="0" w:noHBand="0" w:noVBand="1" w:val="04A0"/>
      </w:tblPr>
      <w:tblGrid>
        <w:gridCol w:w="1098"/>
        <w:gridCol w:w="1098"/>
        <w:gridCol w:w="1098"/>
        <w:gridCol w:w="1098"/>
        <w:gridCol w:w="1098"/>
        <w:gridCol w:w="1098"/>
        <w:gridCol w:w="1098"/>
        <w:gridCol w:w="1098"/>
      </w:tblGrid>
      <w:tr>
        <w:tc>
          <w:tcPr>
            <w:tcW w:type="dxa" w:w="1098"/>
          </w:tcPr>
          <w:p>
            <w:r/>
            <w:r>
              <w:rPr>
                <w:b/>
              </w:rPr>
              <w:t>Split</w:t>
            </w:r>
          </w:p>
        </w:tc>
        <w:tc>
          <w:tcPr>
            <w:tcW w:type="dxa" w:w="1098"/>
          </w:tcPr>
          <w:p>
            <w:r/>
            <w:r>
              <w:rPr>
                <w:b/>
              </w:rPr>
              <w:t>Chỉ số</w:t>
            </w:r>
          </w:p>
        </w:tc>
        <w:tc>
          <w:tcPr>
            <w:tcW w:type="dxa" w:w="1098"/>
          </w:tcPr>
          <w:p>
            <w:r/>
            <w:r>
              <w:rPr>
                <w:b/>
              </w:rPr>
              <w:t>Static KG-GCN</w:t>
            </w:r>
          </w:p>
        </w:tc>
        <w:tc>
          <w:tcPr>
            <w:tcW w:type="dxa" w:w="1098"/>
          </w:tcPr>
          <w:p>
            <w:r/>
            <w:r>
              <w:rPr>
                <w:b/>
              </w:rPr>
              <w:t>BT-DKGRec-GCN</w:t>
            </w:r>
          </w:p>
        </w:tc>
        <w:tc>
          <w:tcPr>
            <w:tcW w:type="dxa" w:w="1098"/>
          </w:tcPr>
          <w:p>
            <w:r/>
            <w:r>
              <w:rPr>
                <w:b/>
              </w:rPr>
              <w:t>Chênh</w:t>
            </w:r>
          </w:p>
        </w:tc>
        <w:tc>
          <w:tcPr>
            <w:tcW w:type="dxa" w:w="1098"/>
          </w:tcPr>
          <w:p>
            <w:r/>
            <w:r>
              <w:rPr>
                <w:b/>
              </w:rPr>
              <w:t>Seed thắng</w:t>
            </w:r>
          </w:p>
        </w:tc>
        <w:tc>
          <w:tcPr>
            <w:tcW w:type="dxa" w:w="1098"/>
          </w:tcPr>
          <w:p>
            <w:r/>
            <w:r>
              <w:rPr>
                <w:b/>
              </w:rPr>
              <w:t>Welch</w:t>
            </w:r>
          </w:p>
        </w:tc>
        <w:tc>
          <w:tcPr>
            <w:tcW w:type="dxa" w:w="1098"/>
          </w:tcPr>
          <w:p>
            <w:r/>
            <w:r>
              <w:rPr>
                <w:b/>
              </w:rPr>
              <w:t>Ghép cặp</w:t>
            </w:r>
          </w:p>
        </w:tc>
      </w:tr>
      <w:tr>
        <w:tc>
          <w:tcPr>
            <w:tcW w:type="dxa" w:w="1098"/>
          </w:tcPr>
          <w:p>
            <w:r>
              <w:t>original</w:t>
            </w:r>
          </w:p>
        </w:tc>
        <w:tc>
          <w:tcPr>
            <w:tcW w:type="dxa" w:w="1098"/>
          </w:tcPr>
          <w:p>
            <w:r>
              <w:t>Recall@20</w:t>
            </w:r>
          </w:p>
        </w:tc>
        <w:tc>
          <w:tcPr>
            <w:tcW w:type="dxa" w:w="1098"/>
          </w:tcPr>
          <w:p>
            <w:r>
              <w:t>0.027178 ± 0.005070</w:t>
            </w:r>
          </w:p>
        </w:tc>
        <w:tc>
          <w:tcPr>
            <w:tcW w:type="dxa" w:w="1098"/>
          </w:tcPr>
          <w:p>
            <w:r>
              <w:t>0.028778 ± 0.004961</w:t>
            </w:r>
          </w:p>
        </w:tc>
        <w:tc>
          <w:tcPr>
            <w:tcW w:type="dxa" w:w="1098"/>
          </w:tcPr>
          <w:p>
            <w:r>
              <w:t>+5.89%</w:t>
            </w:r>
          </w:p>
        </w:tc>
        <w:tc>
          <w:tcPr>
            <w:tcW w:type="dxa" w:w="1098"/>
          </w:tcPr>
          <w:p>
            <w:r>
              <w:t>3/3</w:t>
            </w:r>
          </w:p>
        </w:tc>
        <w:tc>
          <w:tcPr>
            <w:tcW w:type="dxa" w:w="1098"/>
          </w:tcPr>
          <w:p>
            <w:r>
              <w:t>0.7160</w:t>
            </w:r>
          </w:p>
        </w:tc>
        <w:tc>
          <w:tcPr>
            <w:tcW w:type="dxa" w:w="1098"/>
          </w:tcPr>
          <w:p>
            <w:r>
              <w:t>0.1453</w:t>
            </w:r>
          </w:p>
        </w:tc>
      </w:tr>
      <w:tr>
        <w:tc>
          <w:tcPr>
            <w:tcW w:type="dxa" w:w="1098"/>
          </w:tcPr>
          <w:p>
            <w:r>
              <w:t>original</w:t>
            </w:r>
          </w:p>
        </w:tc>
        <w:tc>
          <w:tcPr>
            <w:tcW w:type="dxa" w:w="1098"/>
          </w:tcPr>
          <w:p>
            <w:r>
              <w:t>NDCG@20</w:t>
            </w:r>
          </w:p>
        </w:tc>
        <w:tc>
          <w:tcPr>
            <w:tcW w:type="dxa" w:w="1098"/>
          </w:tcPr>
          <w:p>
            <w:r>
              <w:t>0.015909 ± 0.003143</w:t>
            </w:r>
          </w:p>
        </w:tc>
        <w:tc>
          <w:tcPr>
            <w:tcW w:type="dxa" w:w="1098"/>
          </w:tcPr>
          <w:p>
            <w:r>
              <w:t>0.015708 ± 0.001940</w:t>
            </w:r>
          </w:p>
        </w:tc>
        <w:tc>
          <w:tcPr>
            <w:tcW w:type="dxa" w:w="1098"/>
          </w:tcPr>
          <w:p>
            <w:r>
              <w:t>-1.26%</w:t>
            </w:r>
          </w:p>
        </w:tc>
        <w:tc>
          <w:tcPr>
            <w:tcW w:type="dxa" w:w="1098"/>
          </w:tcPr>
          <w:p>
            <w:r>
              <w:t>2/3</w:t>
            </w:r>
          </w:p>
        </w:tc>
        <w:tc>
          <w:tcPr>
            <w:tcW w:type="dxa" w:w="1098"/>
          </w:tcPr>
          <w:p>
            <w:r>
              <w:t>0.9303</w:t>
            </w:r>
          </w:p>
        </w:tc>
        <w:tc>
          <w:tcPr>
            <w:tcW w:type="dxa" w:w="1098"/>
          </w:tcPr>
          <w:p>
            <w:r>
              <w:t>0.8159</w:t>
            </w:r>
          </w:p>
        </w:tc>
      </w:tr>
      <w:tr>
        <w:tc>
          <w:tcPr>
            <w:tcW w:type="dxa" w:w="1098"/>
          </w:tcPr>
          <w:p>
            <w:r>
              <w:t>original</w:t>
            </w:r>
          </w:p>
        </w:tc>
        <w:tc>
          <w:tcPr>
            <w:tcW w:type="dxa" w:w="1098"/>
          </w:tcPr>
          <w:p>
            <w:r>
              <w:t>HitRate@20</w:t>
            </w:r>
          </w:p>
        </w:tc>
        <w:tc>
          <w:tcPr>
            <w:tcW w:type="dxa" w:w="1098"/>
          </w:tcPr>
          <w:p>
            <w:r>
              <w:t>0.053963 ± 0.007351</w:t>
            </w:r>
          </w:p>
        </w:tc>
        <w:tc>
          <w:tcPr>
            <w:tcW w:type="dxa" w:w="1098"/>
          </w:tcPr>
          <w:p>
            <w:r>
              <w:t>0.055087 ± 0.007604</w:t>
            </w:r>
          </w:p>
        </w:tc>
        <w:tc>
          <w:tcPr>
            <w:tcW w:type="dxa" w:w="1098"/>
          </w:tcPr>
          <w:p>
            <w:r>
              <w:t>+2.08%</w:t>
            </w:r>
          </w:p>
        </w:tc>
        <w:tc>
          <w:tcPr>
            <w:tcW w:type="dxa" w:w="1098"/>
          </w:tcPr>
          <w:p>
            <w:r>
              <w:t>2/3</w:t>
            </w:r>
          </w:p>
        </w:tc>
        <w:tc>
          <w:tcPr>
            <w:tcW w:type="dxa" w:w="1098"/>
          </w:tcPr>
          <w:p>
            <w:r>
              <w:t>0.8629</w:t>
            </w:r>
          </w:p>
        </w:tc>
        <w:tc>
          <w:tcPr>
            <w:tcW w:type="dxa" w:w="1098"/>
          </w:tcPr>
          <w:p>
            <w:r>
              <w:t>0.5286</w:t>
            </w:r>
          </w:p>
        </w:tc>
      </w:tr>
      <w:tr>
        <w:tc>
          <w:tcPr>
            <w:tcW w:type="dxa" w:w="1098"/>
          </w:tcPr>
          <w:p>
            <w:r>
              <w:t>active</w:t>
            </w:r>
          </w:p>
        </w:tc>
        <w:tc>
          <w:tcPr>
            <w:tcW w:type="dxa" w:w="1098"/>
          </w:tcPr>
          <w:p>
            <w:r>
              <w:t>Recall@20</w:t>
            </w:r>
          </w:p>
        </w:tc>
        <w:tc>
          <w:tcPr>
            <w:tcW w:type="dxa" w:w="1098"/>
          </w:tcPr>
          <w:p>
            <w:r>
              <w:t>0.031317 ± 0.003940</w:t>
            </w:r>
          </w:p>
        </w:tc>
        <w:tc>
          <w:tcPr>
            <w:tcW w:type="dxa" w:w="1098"/>
          </w:tcPr>
          <w:p>
            <w:r>
              <w:t>0.032445 ± 0.003102</w:t>
            </w:r>
          </w:p>
        </w:tc>
        <w:tc>
          <w:tcPr>
            <w:tcW w:type="dxa" w:w="1098"/>
          </w:tcPr>
          <w:p>
            <w:r>
              <w:t>+3.60%</w:t>
            </w:r>
          </w:p>
        </w:tc>
        <w:tc>
          <w:tcPr>
            <w:tcW w:type="dxa" w:w="1098"/>
          </w:tcPr>
          <w:p>
            <w:r>
              <w:t>2/3</w:t>
            </w:r>
          </w:p>
        </w:tc>
        <w:tc>
          <w:tcPr>
            <w:tcW w:type="dxa" w:w="1098"/>
          </w:tcPr>
          <w:p>
            <w:r>
              <w:t>0.7178</w:t>
            </w:r>
          </w:p>
        </w:tc>
        <w:tc>
          <w:tcPr>
            <w:tcW w:type="dxa" w:w="1098"/>
          </w:tcPr>
          <w:p>
            <w:r>
              <w:t>0.2704</w:t>
            </w:r>
          </w:p>
        </w:tc>
      </w:tr>
      <w:tr>
        <w:tc>
          <w:tcPr>
            <w:tcW w:type="dxa" w:w="1098"/>
          </w:tcPr>
          <w:p>
            <w:r>
              <w:t>active</w:t>
            </w:r>
          </w:p>
        </w:tc>
        <w:tc>
          <w:tcPr>
            <w:tcW w:type="dxa" w:w="1098"/>
          </w:tcPr>
          <w:p>
            <w:r>
              <w:t>NDCG@20</w:t>
            </w:r>
          </w:p>
        </w:tc>
        <w:tc>
          <w:tcPr>
            <w:tcW w:type="dxa" w:w="1098"/>
          </w:tcPr>
          <w:p>
            <w:r>
              <w:t>0.023572 ± 0.002772</w:t>
            </w:r>
          </w:p>
        </w:tc>
        <w:tc>
          <w:tcPr>
            <w:tcW w:type="dxa" w:w="1098"/>
          </w:tcPr>
          <w:p>
            <w:r>
              <w:t>0.024814 ± 0.001762</w:t>
            </w:r>
          </w:p>
        </w:tc>
        <w:tc>
          <w:tcPr>
            <w:tcW w:type="dxa" w:w="1098"/>
          </w:tcPr>
          <w:p>
            <w:r>
              <w:t>+5.27%</w:t>
            </w:r>
          </w:p>
        </w:tc>
        <w:tc>
          <w:tcPr>
            <w:tcW w:type="dxa" w:w="1098"/>
          </w:tcPr>
          <w:p>
            <w:r>
              <w:t>3/3</w:t>
            </w:r>
          </w:p>
        </w:tc>
        <w:tc>
          <w:tcPr>
            <w:tcW w:type="dxa" w:w="1098"/>
          </w:tcPr>
          <w:p>
            <w:r>
              <w:t>0.5541</w:t>
            </w:r>
          </w:p>
        </w:tc>
        <w:tc>
          <w:tcPr>
            <w:tcW w:type="dxa" w:w="1098"/>
          </w:tcPr>
          <w:p>
            <w:r>
              <w:t>0.2841</w:t>
            </w:r>
          </w:p>
        </w:tc>
      </w:tr>
      <w:tr>
        <w:tc>
          <w:tcPr>
            <w:tcW w:type="dxa" w:w="1098"/>
          </w:tcPr>
          <w:p>
            <w:r>
              <w:t>active</w:t>
            </w:r>
          </w:p>
        </w:tc>
        <w:tc>
          <w:tcPr>
            <w:tcW w:type="dxa" w:w="1098"/>
          </w:tcPr>
          <w:p>
            <w:r>
              <w:t>HitRate@20</w:t>
            </w:r>
          </w:p>
        </w:tc>
        <w:tc>
          <w:tcPr>
            <w:tcW w:type="dxa" w:w="1098"/>
          </w:tcPr>
          <w:p>
            <w:r>
              <w:t>0.082621 ± 0.019270</w:t>
            </w:r>
          </w:p>
        </w:tc>
        <w:tc>
          <w:tcPr>
            <w:tcW w:type="dxa" w:w="1098"/>
          </w:tcPr>
          <w:p>
            <w:r>
              <w:t>0.084046 ± 0.015008</w:t>
            </w:r>
          </w:p>
        </w:tc>
        <w:tc>
          <w:tcPr>
            <w:tcW w:type="dxa" w:w="1098"/>
          </w:tcPr>
          <w:p>
            <w:r>
              <w:t>+1.72%</w:t>
            </w:r>
          </w:p>
        </w:tc>
        <w:tc>
          <w:tcPr>
            <w:tcW w:type="dxa" w:w="1098"/>
          </w:tcPr>
          <w:p>
            <w:r>
              <w:t>2/3</w:t>
            </w:r>
          </w:p>
        </w:tc>
        <w:tc>
          <w:tcPr>
            <w:tcW w:type="dxa" w:w="1098"/>
          </w:tcPr>
          <w:p>
            <w:r>
              <w:t>0.9247</w:t>
            </w:r>
          </w:p>
        </w:tc>
        <w:tc>
          <w:tcPr>
            <w:tcW w:type="dxa" w:w="1098"/>
          </w:tcPr>
          <w:p>
            <w:r>
              <w:t>0.6667</w:t>
            </w:r>
          </w:p>
        </w:tc>
      </w:tr>
    </w:tbl>
    <w:p/>
    <w:p>
      <w:r>
        <w:t>Không giá trị p nào trong nhóm so sánh này đạt mức 0.05. Trên bộ dữ liệu này, đề án chưa chứng minh được behavior-time weighting cải thiện độ chính xác xếp hạng so với knowledge graph tĩnh.</w:t>
      </w:r>
    </w:p>
    <w:p>
      <w:r>
        <w:t>Chênh lệch mang dấu dương ở phần lớn các phép so sánh giữa hai split, hai split đánh giá và ba chỉ số; các trường hợp mang dấu âm có độ lớn nằm trong dao động giữa các seed. Kết quả vì vậy nhất quán về chiều nhưng có biên độ nhỏ hơn nhiễu đo, và kết luận phù hợp là chưa đủ bằng chứng để khẳng định hiệu ứng, không phải bằng chứng cho thấy không có hiệu ứng.</w:t>
      </w:r>
    </w:p>
    <w:p>
      <w:r>
        <w:t>Phần đóng góp của knowledge graph tách riêng khỏi behavior-time weighting thì rõ hơn. So sánh Static KG-GCN với LightGCN, tức thêm category và property mà không thêm trọng số thời gian:</w:t>
      </w:r>
    </w:p>
    <w:p>
      <w:pPr>
        <w:jc w:val="center"/>
      </w:pPr>
      <w:r>
        <w:rPr>
          <w:b/>
        </w:rPr>
        <w:t>Bảng 4.11. Static KG-GCN so với LightGCN, test Recall@20 tại K = 20</w:t>
      </w:r>
    </w:p>
    <w:tbl>
      <w:tblPr>
        <w:tblStyle w:val="TableGrid"/>
        <w:tblW w:type="auto" w:w="0"/>
        <w:tblLook w:firstColumn="1" w:firstRow="1" w:lastColumn="0" w:lastRow="0" w:noHBand="0" w:noVBand="1" w:val="04A0"/>
      </w:tblPr>
      <w:tblGrid>
        <w:gridCol w:w="1758"/>
        <w:gridCol w:w="1758"/>
        <w:gridCol w:w="1758"/>
        <w:gridCol w:w="1758"/>
        <w:gridCol w:w="1758"/>
      </w:tblGrid>
      <w:tr>
        <w:tc>
          <w:tcPr>
            <w:tcW w:type="dxa" w:w="1758"/>
          </w:tcPr>
          <w:p>
            <w:r/>
            <w:r>
              <w:rPr>
                <w:b/>
              </w:rPr>
              <w:t>Split</w:t>
            </w:r>
          </w:p>
        </w:tc>
        <w:tc>
          <w:tcPr>
            <w:tcW w:type="dxa" w:w="1758"/>
          </w:tcPr>
          <w:p>
            <w:r/>
            <w:r>
              <w:rPr>
                <w:b/>
              </w:rPr>
              <w:t>Chênh</w:t>
            </w:r>
          </w:p>
        </w:tc>
        <w:tc>
          <w:tcPr>
            <w:tcW w:type="dxa" w:w="1758"/>
          </w:tcPr>
          <w:p>
            <w:r/>
            <w:r>
              <w:rPr>
                <w:b/>
              </w:rPr>
              <w:t>Welch</w:t>
            </w:r>
          </w:p>
        </w:tc>
        <w:tc>
          <w:tcPr>
            <w:tcW w:type="dxa" w:w="1758"/>
          </w:tcPr>
          <w:p>
            <w:r/>
            <w:r>
              <w:rPr>
                <w:b/>
              </w:rPr>
              <w:t>Ghép cặp</w:t>
            </w:r>
          </w:p>
        </w:tc>
        <w:tc>
          <w:tcPr>
            <w:tcW w:type="dxa" w:w="1758"/>
          </w:tcPr>
          <w:p>
            <w:r/>
            <w:r>
              <w:rPr>
                <w:b/>
              </w:rPr>
              <w:t>Seed thắng</w:t>
            </w:r>
          </w:p>
        </w:tc>
      </w:tr>
      <w:tr>
        <w:tc>
          <w:tcPr>
            <w:tcW w:type="dxa" w:w="1758"/>
          </w:tcPr>
          <w:p>
            <w:r>
              <w:t>original</w:t>
            </w:r>
          </w:p>
        </w:tc>
        <w:tc>
          <w:tcPr>
            <w:tcW w:type="dxa" w:w="1758"/>
          </w:tcPr>
          <w:p>
            <w:r>
              <w:t>+14.50%</w:t>
            </w:r>
          </w:p>
        </w:tc>
        <w:tc>
          <w:tcPr>
            <w:tcW w:type="dxa" w:w="1758"/>
          </w:tcPr>
          <w:p>
            <w:r>
              <w:t>0.3952</w:t>
            </w:r>
          </w:p>
        </w:tc>
        <w:tc>
          <w:tcPr>
            <w:tcW w:type="dxa" w:w="1758"/>
          </w:tcPr>
          <w:p>
            <w:r>
              <w:t>0.0617</w:t>
            </w:r>
          </w:p>
        </w:tc>
        <w:tc>
          <w:tcPr>
            <w:tcW w:type="dxa" w:w="1758"/>
          </w:tcPr>
          <w:p>
            <w:r>
              <w:t>3/3</w:t>
            </w:r>
          </w:p>
        </w:tc>
      </w:tr>
      <w:tr>
        <w:tc>
          <w:tcPr>
            <w:tcW w:type="dxa" w:w="1758"/>
          </w:tcPr>
          <w:p>
            <w:r>
              <w:t>active</w:t>
            </w:r>
          </w:p>
        </w:tc>
        <w:tc>
          <w:tcPr>
            <w:tcW w:type="dxa" w:w="1758"/>
          </w:tcPr>
          <w:p>
            <w:r>
              <w:t>+9.50%</w:t>
            </w:r>
          </w:p>
        </w:tc>
        <w:tc>
          <w:tcPr>
            <w:tcW w:type="dxa" w:w="1758"/>
          </w:tcPr>
          <w:p>
            <w:r>
              <w:t>0.4236</w:t>
            </w:r>
          </w:p>
        </w:tc>
        <w:tc>
          <w:tcPr>
            <w:tcW w:type="dxa" w:w="1758"/>
          </w:tcPr>
          <w:p>
            <w:r>
              <w:t>0.0278</w:t>
            </w:r>
          </w:p>
        </w:tc>
        <w:tc>
          <w:tcPr>
            <w:tcW w:type="dxa" w:w="1758"/>
          </w:tcPr>
          <w:p>
            <w:r>
              <w:t>3/3</w:t>
            </w:r>
          </w:p>
        </w:tc>
      </w:tr>
    </w:tbl>
    <w:p/>
    <w:p>
      <w:r>
        <w:t>Kết quả này cũng khác kết luận trong bản v11, nơi mục 4.3.3 ghi nhận Static KG-GCN thấp hơn LightGCN trên original split. Giá trị 0.013668 của v11 phản ánh một lần chạy chưa hội tụ.</w:t>
      </w:r>
    </w:p>
    <w:p>
      <w:r>
        <w:t>Hiệu ứng nhỏ của behavior-time weighting có thể giải thích một phần bằng cách phép chuẩn hóa đưa trọng số vào lan truyền. Trọng số W(u,i) được gộp theo từng cạnh giữa một người dùng và một item, sau đó phép chuẩn hóa đối xứng Â = D^(−1/2) A D^(−1/2) chia trọng số đó cho tích căn bậc hai của bậc hai đầu cạnh. Với người dùng chỉ có một cạnh trong graph, bậc có trọng số của người dùng bằng đúng trọng số cạnh, nên hệ số còn lại là căn bậc hai của W(u,i) chia cho căn bậc hai của bậc item; trọng số đi vào lan truyền theo căn bậc hai chứ không giữ nguyên độ lớn danh nghĩa. Tỉ lệ 3:1 giữa transaction và view sau chuẩn hóa vì vậy còn khoảng 1.73:1.</w:t>
      </w:r>
    </w:p>
    <w:p>
      <w:pPr>
        <w:jc w:val="center"/>
      </w:pPr>
      <w:r>
        <w:rPr>
          <w:b/>
        </w:rPr>
        <w:t>Bảng 4.12. Phân bố bậc người dùng trong tập đánh giá cohort Original</w:t>
      </w:r>
    </w:p>
    <w:tbl>
      <w:tblPr>
        <w:tblStyle w:val="TableGrid"/>
        <w:tblW w:type="auto" w:w="0"/>
        <w:tblLook w:firstColumn="1" w:firstRow="1" w:lastColumn="0" w:lastRow="0" w:noHBand="0" w:noVBand="1" w:val="04A0"/>
      </w:tblPr>
      <w:tblGrid>
        <w:gridCol w:w="2929"/>
        <w:gridCol w:w="2929"/>
        <w:gridCol w:w="2929"/>
      </w:tblGrid>
      <w:tr>
        <w:tc>
          <w:tcPr>
            <w:tcW w:type="dxa" w:w="2929"/>
          </w:tcPr>
          <w:p>
            <w:r/>
            <w:r>
              <w:rPr>
                <w:b/>
              </w:rPr>
              <w:t>Số cạnh trong graph</w:t>
            </w:r>
          </w:p>
        </w:tc>
        <w:tc>
          <w:tcPr>
            <w:tcW w:type="dxa" w:w="2929"/>
          </w:tcPr>
          <w:p>
            <w:r/>
            <w:r>
              <w:rPr>
                <w:b/>
              </w:rPr>
              <w:t>Số người dùng</w:t>
            </w:r>
          </w:p>
        </w:tc>
        <w:tc>
          <w:tcPr>
            <w:tcW w:type="dxa" w:w="2929"/>
          </w:tcPr>
          <w:p>
            <w:r/>
            <w:r>
              <w:rPr>
                <w:b/>
              </w:rPr>
              <w:t>Tỷ lệ</w:t>
            </w:r>
          </w:p>
        </w:tc>
      </w:tr>
      <w:tr>
        <w:tc>
          <w:tcPr>
            <w:tcW w:type="dxa" w:w="2929"/>
          </w:tcPr>
          <w:p>
            <w:r>
              <w:t>1</w:t>
            </w:r>
          </w:p>
        </w:tc>
        <w:tc>
          <w:tcPr>
            <w:tcW w:type="dxa" w:w="2929"/>
          </w:tcPr>
          <w:p>
            <w:r>
              <w:t>259</w:t>
            </w:r>
          </w:p>
        </w:tc>
        <w:tc>
          <w:tcPr>
            <w:tcW w:type="dxa" w:w="2929"/>
          </w:tcPr>
          <w:p>
            <w:r>
              <w:t>43.7%</w:t>
            </w:r>
          </w:p>
        </w:tc>
      </w:tr>
      <w:tr>
        <w:tc>
          <w:tcPr>
            <w:tcW w:type="dxa" w:w="2929"/>
          </w:tcPr>
          <w:p>
            <w:r>
              <w:t>2</w:t>
            </w:r>
          </w:p>
        </w:tc>
        <w:tc>
          <w:tcPr>
            <w:tcW w:type="dxa" w:w="2929"/>
          </w:tcPr>
          <w:p>
            <w:r>
              <w:t>76</w:t>
            </w:r>
          </w:p>
        </w:tc>
        <w:tc>
          <w:tcPr>
            <w:tcW w:type="dxa" w:w="2929"/>
          </w:tcPr>
          <w:p>
            <w:r>
              <w:t>12.8%</w:t>
            </w:r>
          </w:p>
        </w:tc>
      </w:tr>
      <w:tr>
        <w:tc>
          <w:tcPr>
            <w:tcW w:type="dxa" w:w="2929"/>
          </w:tcPr>
          <w:p>
            <w:r>
              <w:t>từ 3 trở lên</w:t>
            </w:r>
          </w:p>
        </w:tc>
        <w:tc>
          <w:tcPr>
            <w:tcW w:type="dxa" w:w="2929"/>
          </w:tcPr>
          <w:p>
            <w:r>
              <w:t>258</w:t>
            </w:r>
          </w:p>
        </w:tc>
        <w:tc>
          <w:tcPr>
            <w:tcW w:type="dxa" w:w="2929"/>
          </w:tcPr>
          <w:p>
            <w:r>
              <w:t>43.5%</w:t>
            </w:r>
          </w:p>
        </w:tc>
      </w:tr>
    </w:tbl>
    <w:p/>
    <w:p>
      <w:r>
        <w:t>Biên độ bị nén này áp dụng cho mọi người dùng chứ không riêng nhóm có ít cạnh, và nó thu hẹp khoảng cách kỳ vọng giữa mô hình dùng behavior-time weighting và mô hình dùng trọng số đồng nhất mà không xóa bỏ khoảng cách đó. Vì bậc của người dùng quyết định lượng tín hiệu cá nhân hóa mà mô hình có được, kết quả được báo cáo thêm theo phân tầng bậc để thấy hiệu quả đến từ nhóm nào thay vì bình quân hóa trên toàn nhóm warm.</w:t>
      </w:r>
    </w:p>
    <w:p>
      <w:r>
        <w:t>Quan sát này dẫn tới hai hệ quả. Về thực nghiệm, kết quả cần được báo cáo thêm theo phân tầng bậc người dùng để đo hiệu ứng trên nhóm mà cơ chế có thể tác động. Về thiết kế, hướng cải tiến là đưa tín hiệu thời gian vào vị trí không bị phép chuẩn hóa nén biên độ, chẳng hạn vào hàm mục tiêu huấn luyện, hoặc vào cấu trúc graph thông qua nhiều snapshot thời gian thay vì chỉ qua trọng số cạnh của một snapshot.</w:t>
      </w:r>
    </w:p>
    <w:p>
      <w:r>
        <w:t>Static KG-GCN là mô hình đối chứng tự xây dựng nhằm cô lập một biến. Nó không phải bản tái lập KGAT hoặc KGCN và không đại diện cho toàn bộ nhóm mô hình gợi ý dựa trên knowledge graph đã công bố.</w:t>
      </w:r>
    </w:p>
    <w:sectPr w:rsidR="009729C3" w:rsidRPr="00407F34">
      <w:headerReference w:type="even" r:id="rId16"/>
      <w:headerReference w:type="default" r:id="rId17"/>
      <w:headerReference w:type="first" r:id="rId18"/>
      <w:pgSz w:w="11906" w:h="16838"/>
      <w:pgMar w:top="1701" w:right="1134" w:bottom="1701" w:left="1984" w:header="680"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8EFC72" w14:textId="77777777" w:rsidR="00901F37" w:rsidRDefault="00901F37">
      <w:pPr>
        <w:spacing w:after="0" w:line="240" w:lineRule="auto"/>
      </w:pPr>
      <w:r>
        <w:separator/>
      </w:r>
    </w:p>
  </w:endnote>
  <w:endnote w:type="continuationSeparator" w:id="0">
    <w:p w14:paraId="27F3A4F0" w14:textId="77777777" w:rsidR="00901F37" w:rsidRDefault="00901F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roman"/>
    <w:pitch w:val="variable"/>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B2A87A" w14:textId="77777777" w:rsidR="00901F37" w:rsidRDefault="00901F37">
      <w:pPr>
        <w:spacing w:after="0" w:line="240" w:lineRule="auto"/>
      </w:pPr>
      <w:r>
        <w:separator/>
      </w:r>
    </w:p>
  </w:footnote>
  <w:footnote w:type="continuationSeparator" w:id="0">
    <w:p w14:paraId="1F4C491F" w14:textId="77777777" w:rsidR="00901F37" w:rsidRDefault="00901F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EF68AB" w14:textId="77777777" w:rsidR="003A1F99" w:rsidRDefault="003A1F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539791" w14:textId="11A78822" w:rsidR="003A1F99" w:rsidRDefault="003A1F99">
    <w:pPr>
      <w:pStyle w:val="Header"/>
      <w:jc w:val="center"/>
    </w:pPr>
    <w:r>
      <w:fldChar w:fldCharType="begin"/>
    </w:r>
    <w:r>
      <w:instrText xml:space="preserve"> PAGE </w:instrText>
    </w:r>
    <w:r>
      <w:fldChar w:fldCharType="separate"/>
    </w:r>
    <w:r w:rsidR="009672D7">
      <w:rPr>
        <w:noProof/>
      </w:rPr>
      <w:t>61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2CBEFD" w14:textId="77777777" w:rsidR="003A1F99" w:rsidRDefault="003A1F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B3D66"/>
    <w:multiLevelType w:val="multilevel"/>
    <w:tmpl w:val="5A002BCC"/>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58E0F1B"/>
    <w:multiLevelType w:val="multilevel"/>
    <w:tmpl w:val="41E2F60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84B3D9F"/>
    <w:multiLevelType w:val="multilevel"/>
    <w:tmpl w:val="8FA4FE34"/>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0005525"/>
    <w:multiLevelType w:val="multilevel"/>
    <w:tmpl w:val="821E6200"/>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6414FE2"/>
    <w:multiLevelType w:val="multilevel"/>
    <w:tmpl w:val="8E02750C"/>
    <w:lvl w:ilvl="0">
      <w:start w:val="1"/>
      <w:numFmt w:val="upperRoman"/>
      <w:lvlText w:val="%1."/>
      <w:lvlJc w:val="left"/>
      <w:pPr>
        <w:tabs>
          <w:tab w:val="num" w:pos="0"/>
        </w:tabs>
        <w:ind w:left="833" w:hanging="720"/>
      </w:pPr>
      <w:rPr>
        <w:b/>
        <w:bCs w:val="0"/>
      </w:rPr>
    </w:lvl>
    <w:lvl w:ilvl="1">
      <w:start w:val="1"/>
      <w:numFmt w:val="lowerLetter"/>
      <w:lvlText w:val="%2."/>
      <w:lvlJc w:val="left"/>
      <w:pPr>
        <w:tabs>
          <w:tab w:val="num" w:pos="0"/>
        </w:tabs>
        <w:ind w:left="1193" w:hanging="360"/>
      </w:pPr>
    </w:lvl>
    <w:lvl w:ilvl="2">
      <w:start w:val="1"/>
      <w:numFmt w:val="lowerRoman"/>
      <w:lvlText w:val="%3."/>
      <w:lvlJc w:val="right"/>
      <w:pPr>
        <w:tabs>
          <w:tab w:val="num" w:pos="0"/>
        </w:tabs>
        <w:ind w:left="1913" w:hanging="180"/>
      </w:pPr>
    </w:lvl>
    <w:lvl w:ilvl="3">
      <w:start w:val="1"/>
      <w:numFmt w:val="decimal"/>
      <w:lvlText w:val="%4."/>
      <w:lvlJc w:val="left"/>
      <w:pPr>
        <w:tabs>
          <w:tab w:val="num" w:pos="0"/>
        </w:tabs>
        <w:ind w:left="2633" w:hanging="360"/>
      </w:pPr>
    </w:lvl>
    <w:lvl w:ilvl="4">
      <w:start w:val="1"/>
      <w:numFmt w:val="lowerLetter"/>
      <w:lvlText w:val="%5."/>
      <w:lvlJc w:val="left"/>
      <w:pPr>
        <w:tabs>
          <w:tab w:val="num" w:pos="0"/>
        </w:tabs>
        <w:ind w:left="3353" w:hanging="360"/>
      </w:pPr>
    </w:lvl>
    <w:lvl w:ilvl="5">
      <w:start w:val="1"/>
      <w:numFmt w:val="lowerRoman"/>
      <w:lvlText w:val="%6."/>
      <w:lvlJc w:val="right"/>
      <w:pPr>
        <w:tabs>
          <w:tab w:val="num" w:pos="0"/>
        </w:tabs>
        <w:ind w:left="4073" w:hanging="180"/>
      </w:pPr>
    </w:lvl>
    <w:lvl w:ilvl="6">
      <w:start w:val="1"/>
      <w:numFmt w:val="decimal"/>
      <w:lvlText w:val="%7."/>
      <w:lvlJc w:val="left"/>
      <w:pPr>
        <w:tabs>
          <w:tab w:val="num" w:pos="0"/>
        </w:tabs>
        <w:ind w:left="4793" w:hanging="360"/>
      </w:pPr>
    </w:lvl>
    <w:lvl w:ilvl="7">
      <w:start w:val="1"/>
      <w:numFmt w:val="lowerLetter"/>
      <w:lvlText w:val="%8."/>
      <w:lvlJc w:val="left"/>
      <w:pPr>
        <w:tabs>
          <w:tab w:val="num" w:pos="0"/>
        </w:tabs>
        <w:ind w:left="5513" w:hanging="360"/>
      </w:pPr>
    </w:lvl>
    <w:lvl w:ilvl="8">
      <w:start w:val="1"/>
      <w:numFmt w:val="lowerRoman"/>
      <w:lvlText w:val="%9."/>
      <w:lvlJc w:val="right"/>
      <w:pPr>
        <w:tabs>
          <w:tab w:val="num" w:pos="0"/>
        </w:tabs>
        <w:ind w:left="6233" w:hanging="180"/>
      </w:pPr>
    </w:lvl>
  </w:abstractNum>
  <w:abstractNum w:abstractNumId="5" w15:restartNumberingAfterBreak="0">
    <w:nsid w:val="28795693"/>
    <w:multiLevelType w:val="multilevel"/>
    <w:tmpl w:val="3C9EC4E6"/>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3C281AE6"/>
    <w:multiLevelType w:val="multilevel"/>
    <w:tmpl w:val="5336BE98"/>
    <w:lvl w:ilvl="0">
      <w:start w:val="1"/>
      <w:numFmt w:val="upperRoman"/>
      <w:lvlText w:val="%1."/>
      <w:lvlJc w:val="left"/>
      <w:pPr>
        <w:tabs>
          <w:tab w:val="num" w:pos="0"/>
        </w:tabs>
        <w:ind w:left="1080" w:hanging="720"/>
      </w:pPr>
      <w:rPr>
        <w:rFonts w:ascii="Times New Roman" w:eastAsia="Times New Roman" w:hAnsi="Times New Roman"/>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47AC425C"/>
    <w:multiLevelType w:val="multilevel"/>
    <w:tmpl w:val="280CD2C6"/>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15:restartNumberingAfterBreak="0">
    <w:nsid w:val="4AB42990"/>
    <w:multiLevelType w:val="multilevel"/>
    <w:tmpl w:val="8788E5F8"/>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7667160D"/>
    <w:multiLevelType w:val="multilevel"/>
    <w:tmpl w:val="439C092E"/>
    <w:lvl w:ilvl="0">
      <w:start w:val="1"/>
      <w:numFmt w:val="decimal"/>
      <w:lvlText w:val="%1."/>
      <w:lvlJc w:val="left"/>
      <w:pPr>
        <w:tabs>
          <w:tab w:val="num" w:pos="0"/>
        </w:tabs>
        <w:ind w:left="1713" w:hanging="360"/>
      </w:pPr>
    </w:lvl>
    <w:lvl w:ilvl="1">
      <w:start w:val="1"/>
      <w:numFmt w:val="lowerLetter"/>
      <w:lvlText w:val="%2."/>
      <w:lvlJc w:val="left"/>
      <w:pPr>
        <w:tabs>
          <w:tab w:val="num" w:pos="0"/>
        </w:tabs>
        <w:ind w:left="2433" w:hanging="360"/>
      </w:pPr>
    </w:lvl>
    <w:lvl w:ilvl="2">
      <w:start w:val="1"/>
      <w:numFmt w:val="lowerRoman"/>
      <w:lvlText w:val="%3."/>
      <w:lvlJc w:val="right"/>
      <w:pPr>
        <w:tabs>
          <w:tab w:val="num" w:pos="0"/>
        </w:tabs>
        <w:ind w:left="3153" w:hanging="180"/>
      </w:pPr>
    </w:lvl>
    <w:lvl w:ilvl="3">
      <w:start w:val="1"/>
      <w:numFmt w:val="decimal"/>
      <w:lvlText w:val="%4."/>
      <w:lvlJc w:val="left"/>
      <w:pPr>
        <w:tabs>
          <w:tab w:val="num" w:pos="0"/>
        </w:tabs>
        <w:ind w:left="3873" w:hanging="360"/>
      </w:pPr>
    </w:lvl>
    <w:lvl w:ilvl="4">
      <w:start w:val="1"/>
      <w:numFmt w:val="lowerLetter"/>
      <w:lvlText w:val="%5."/>
      <w:lvlJc w:val="left"/>
      <w:pPr>
        <w:tabs>
          <w:tab w:val="num" w:pos="0"/>
        </w:tabs>
        <w:ind w:left="4593" w:hanging="360"/>
      </w:pPr>
    </w:lvl>
    <w:lvl w:ilvl="5">
      <w:start w:val="1"/>
      <w:numFmt w:val="lowerRoman"/>
      <w:lvlText w:val="%6."/>
      <w:lvlJc w:val="right"/>
      <w:pPr>
        <w:tabs>
          <w:tab w:val="num" w:pos="0"/>
        </w:tabs>
        <w:ind w:left="5313" w:hanging="180"/>
      </w:pPr>
    </w:lvl>
    <w:lvl w:ilvl="6">
      <w:start w:val="1"/>
      <w:numFmt w:val="decimal"/>
      <w:lvlText w:val="%7."/>
      <w:lvlJc w:val="left"/>
      <w:pPr>
        <w:tabs>
          <w:tab w:val="num" w:pos="0"/>
        </w:tabs>
        <w:ind w:left="6033" w:hanging="360"/>
      </w:pPr>
    </w:lvl>
    <w:lvl w:ilvl="7">
      <w:start w:val="1"/>
      <w:numFmt w:val="lowerLetter"/>
      <w:lvlText w:val="%8."/>
      <w:lvlJc w:val="left"/>
      <w:pPr>
        <w:tabs>
          <w:tab w:val="num" w:pos="0"/>
        </w:tabs>
        <w:ind w:left="6753" w:hanging="360"/>
      </w:pPr>
    </w:lvl>
    <w:lvl w:ilvl="8">
      <w:start w:val="1"/>
      <w:numFmt w:val="lowerRoman"/>
      <w:lvlText w:val="%9."/>
      <w:lvlJc w:val="right"/>
      <w:pPr>
        <w:tabs>
          <w:tab w:val="num" w:pos="0"/>
        </w:tabs>
        <w:ind w:left="7473" w:hanging="180"/>
      </w:pPr>
    </w:lvl>
  </w:abstractNum>
  <w:num w:numId="1">
    <w:abstractNumId w:val="1"/>
  </w:num>
  <w:num w:numId="2">
    <w:abstractNumId w:val="5"/>
  </w:num>
  <w:num w:numId="3">
    <w:abstractNumId w:val="8"/>
  </w:num>
  <w:num w:numId="4">
    <w:abstractNumId w:val="2"/>
  </w:num>
  <w:num w:numId="5">
    <w:abstractNumId w:val="0"/>
  </w:num>
  <w:num w:numId="6">
    <w:abstractNumId w:val="7"/>
  </w:num>
  <w:num w:numId="7">
    <w:abstractNumId w:val="6"/>
  </w:num>
  <w:num w:numId="8">
    <w:abstractNumId w:val="9"/>
  </w:num>
  <w:num w:numId="9">
    <w:abstractNumId w:val="4"/>
  </w:num>
  <w:num w:numId="10">
    <w:abstractNumId w:val="3"/>
    <w:lvlOverride w:ilvl="0">
      <w:startOverride w:val="1"/>
    </w:lvlOverride>
  </w:num>
  <w:num w:numId="11">
    <w:abstractNumId w:val="3"/>
    <w:lvlOverride w:ilvl="0">
      <w:startOverride w:val="2"/>
    </w:lvlOverride>
  </w:num>
  <w:num w:numId="12">
    <w:abstractNumId w:val="3"/>
    <w:lvlOverride w:ilvl="0">
      <w:startOverride w:val="3"/>
    </w:lvlOverride>
  </w:num>
  <w:num w:numId="13">
    <w:abstractNumId w:val="3"/>
    <w:lvlOverride w:ilvl="0">
      <w:startOverride w:val="4"/>
    </w:lvlOverride>
  </w:num>
  <w:num w:numId="14">
    <w:abstractNumId w:val="3"/>
    <w:lvlOverride w:ilvl="0">
      <w:startOverride w:val="5"/>
    </w:lvlOverride>
  </w:num>
  <w:num w:numId="15">
    <w:abstractNumId w:val="3"/>
    <w:lvlOverride w:ilvl="0">
      <w:startOverride w:val="6"/>
    </w:lvlOverride>
  </w:num>
  <w:num w:numId="16">
    <w:abstractNumId w:val="3"/>
    <w:lvlOverride w:ilvl="0">
      <w:startOverride w:val="7"/>
    </w:lvlOverride>
  </w:num>
  <w:num w:numId="17">
    <w:abstractNumId w:val="3"/>
    <w:lvlOverride w:ilvl="0">
      <w:startOverride w:val="1"/>
    </w:lvlOverride>
  </w:num>
  <w:num w:numId="18">
    <w:abstractNumId w:val="3"/>
    <w:lvlOverride w:ilvl="0">
      <w:startOverride w:val="2"/>
    </w:lvlOverride>
  </w:num>
  <w:num w:numId="19">
    <w:abstractNumId w:val="3"/>
    <w:lvlOverride w:ilvl="0">
      <w:startOverride w:val="3"/>
    </w:lvlOverride>
  </w:num>
  <w:num w:numId="20">
    <w:abstractNumId w:val="3"/>
    <w:lvlOverride w:ilvl="0">
      <w:startOverride w:val="4"/>
    </w:lvlOverride>
  </w:num>
  <w:num w:numId="21">
    <w:abstractNumId w:val="3"/>
    <w:lvlOverride w:ilvl="0">
      <w:startOverride w:val="1"/>
    </w:lvlOverride>
  </w:num>
  <w:num w:numId="22">
    <w:abstractNumId w:val="3"/>
    <w:lvlOverride w:ilvl="0">
      <w:startOverride w:val="2"/>
    </w:lvlOverride>
  </w:num>
  <w:num w:numId="23">
    <w:abstractNumId w:val="3"/>
    <w:lvlOverride w:ilvl="0">
      <w:startOverride w:val="3"/>
    </w:lvlOverride>
  </w:num>
  <w:num w:numId="24">
    <w:abstractNumId w:val="3"/>
    <w:lvlOverride w:ilvl="0">
      <w:startOverride w:val="4"/>
    </w:lvlOverride>
  </w:num>
  <w:num w:numId="25">
    <w:abstractNumId w:val="3"/>
    <w:lvlOverride w:ilvl="0">
      <w:startOverride w:val="5"/>
    </w:lvlOverride>
  </w:num>
  <w:num w:numId="26">
    <w:abstractNumId w:val="3"/>
    <w:lvlOverride w:ilvl="0">
      <w:startOverride w:val="6"/>
    </w:lvlOverride>
  </w:num>
  <w:num w:numId="27">
    <w:abstractNumId w:val="3"/>
    <w:lvlOverride w:ilvl="0">
      <w:startOverride w:val="7"/>
    </w:lvlOverride>
  </w:num>
  <w:num w:numId="28">
    <w:abstractNumId w:val="3"/>
    <w:lvlOverride w:ilvl="0">
      <w:startOverride w:val="8"/>
    </w:lvlOverride>
  </w:num>
  <w:num w:numId="29">
    <w:abstractNumId w:val="3"/>
    <w:lvlOverride w:ilvl="0">
      <w:startOverride w:val="9"/>
    </w:lvlOverride>
  </w:num>
  <w:num w:numId="30">
    <w:abstractNumId w:val="3"/>
    <w:lvlOverride w:ilvl="0">
      <w:startOverride w:val="10"/>
    </w:lvlOverride>
  </w:num>
  <w:num w:numId="31">
    <w:abstractNumId w:val="3"/>
    <w:lvlOverride w:ilvl="0">
      <w:startOverride w:val="1"/>
    </w:lvlOverride>
  </w:num>
  <w:num w:numId="32">
    <w:abstractNumId w:val="3"/>
    <w:lvlOverride w:ilvl="0">
      <w:startOverride w:val="2"/>
    </w:lvlOverride>
  </w:num>
  <w:num w:numId="33">
    <w:abstractNumId w:val="3"/>
    <w:lvlOverride w:ilvl="0">
      <w:startOverride w:val="3"/>
    </w:lvlOverride>
  </w:num>
  <w:num w:numId="34">
    <w:abstractNumId w:val="3"/>
    <w:lvlOverride w:ilvl="0">
      <w:startOverride w:val="4"/>
    </w:lvlOverride>
  </w:num>
  <w:num w:numId="35">
    <w:abstractNumId w:val="3"/>
    <w:lvlOverride w:ilvl="0">
      <w:startOverride w:val="1"/>
    </w:lvlOverride>
  </w:num>
  <w:num w:numId="36">
    <w:abstractNumId w:val="3"/>
    <w:lvlOverride w:ilvl="0">
      <w:startOverride w:val="2"/>
    </w:lvlOverride>
  </w:num>
  <w:num w:numId="37">
    <w:abstractNumId w:val="3"/>
    <w:lvlOverride w:ilvl="0">
      <w:startOverride w:val="3"/>
    </w:lvlOverride>
  </w:num>
  <w:num w:numId="38">
    <w:abstractNumId w:val="3"/>
    <w:lvlOverride w:ilvl="0">
      <w:startOverride w:val="4"/>
    </w:lvlOverride>
  </w:num>
  <w:num w:numId="39">
    <w:abstractNumId w:val="3"/>
    <w:lvlOverride w:ilvl="0">
      <w:startOverride w:val="5"/>
    </w:lvlOverride>
  </w:num>
  <w:num w:numId="40">
    <w:abstractNumId w:val="3"/>
    <w:lvlOverride w:ilvl="0">
      <w:startOverride w:val="6"/>
    </w:lvlOverride>
  </w:num>
  <w:num w:numId="41">
    <w:abstractNumId w:val="3"/>
    <w:lvlOverride w:ilvl="0">
      <w:startOverride w:val="7"/>
    </w:lvlOverride>
  </w:num>
  <w:num w:numId="42">
    <w:abstractNumId w:val="3"/>
    <w:lvlOverride w:ilvl="0">
      <w:startOverride w:val="1"/>
    </w:lvlOverride>
  </w:num>
  <w:num w:numId="43">
    <w:abstractNumId w:val="3"/>
    <w:lvlOverride w:ilvl="0">
      <w:startOverride w:val="2"/>
    </w:lvlOverride>
  </w:num>
  <w:num w:numId="44">
    <w:abstractNumId w:val="3"/>
    <w:lvlOverride w:ilvl="0">
      <w:startOverride w:val="3"/>
    </w:lvlOverride>
  </w:num>
  <w:num w:numId="45">
    <w:abstractNumId w:val="3"/>
    <w:lvlOverride w:ilvl="0">
      <w:startOverride w:val="4"/>
    </w:lvlOverride>
  </w:num>
  <w:num w:numId="46">
    <w:abstractNumId w:val="3"/>
    <w:lvlOverride w:ilvl="0">
      <w:startOverride w:val="5"/>
    </w:lvlOverride>
  </w:num>
  <w:num w:numId="47">
    <w:abstractNumId w:val="3"/>
    <w:lvlOverride w:ilvl="0">
      <w:startOverride w:val="1"/>
    </w:lvlOverride>
  </w:num>
  <w:num w:numId="48">
    <w:abstractNumId w:val="3"/>
    <w:lvlOverride w:ilvl="0">
      <w:startOverride w:val="2"/>
    </w:lvlOverride>
  </w:num>
  <w:num w:numId="49">
    <w:abstractNumId w:val="3"/>
    <w:lvlOverride w:ilvl="0">
      <w:startOverride w:val="3"/>
    </w:lvlOverride>
  </w:num>
  <w:num w:numId="50">
    <w:abstractNumId w:val="3"/>
    <w:lvlOverride w:ilvl="0">
      <w:startOverride w:val="4"/>
    </w:lvlOverride>
  </w:num>
  <w:num w:numId="51">
    <w:abstractNumId w:val="3"/>
    <w:lvlOverride w:ilvl="0">
      <w:startOverride w:val="5"/>
    </w:lvlOverride>
  </w:num>
  <w:num w:numId="52">
    <w:abstractNumId w:val="3"/>
    <w:lvlOverride w:ilvl="0">
      <w:startOverride w:val="6"/>
    </w:lvlOverride>
  </w:num>
  <w:num w:numId="53">
    <w:abstractNumId w:val="3"/>
    <w:lvlOverride w:ilvl="0">
      <w:startOverride w:val="7"/>
    </w:lvlOverride>
  </w:num>
  <w:num w:numId="54">
    <w:abstractNumId w:val="3"/>
    <w:lvlOverride w:ilvl="0">
      <w:startOverride w:val="8"/>
    </w:lvlOverride>
  </w:num>
  <w:num w:numId="55">
    <w:abstractNumId w:val="3"/>
    <w:lvlOverride w:ilvl="0">
      <w:startOverride w:val="9"/>
    </w:lvlOverride>
  </w:num>
  <w:num w:numId="56">
    <w:abstractNumId w:val="3"/>
    <w:lvlOverride w:ilvl="0">
      <w:startOverride w:val="1"/>
    </w:lvlOverride>
  </w:num>
  <w:num w:numId="57">
    <w:abstractNumId w:val="3"/>
    <w:lvlOverride w:ilvl="0">
      <w:startOverride w:val="2"/>
    </w:lvlOverride>
  </w:num>
  <w:num w:numId="58">
    <w:abstractNumId w:val="3"/>
    <w:lvlOverride w:ilvl="0">
      <w:startOverride w:val="3"/>
    </w:lvlOverride>
  </w:num>
  <w:num w:numId="59">
    <w:abstractNumId w:val="3"/>
    <w:lvlOverride w:ilvl="0">
      <w:startOverride w:val="4"/>
    </w:lvlOverride>
  </w:num>
  <w:num w:numId="60">
    <w:abstractNumId w:val="3"/>
    <w:lvlOverride w:ilvl="0">
      <w:startOverride w:val="5"/>
    </w:lvlOverride>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29C3"/>
    <w:rsid w:val="000A4002"/>
    <w:rsid w:val="000D5428"/>
    <w:rsid w:val="00127FCC"/>
    <w:rsid w:val="00175AC0"/>
    <w:rsid w:val="001D4CAF"/>
    <w:rsid w:val="00211424"/>
    <w:rsid w:val="002312B9"/>
    <w:rsid w:val="00256A3A"/>
    <w:rsid w:val="00294B2B"/>
    <w:rsid w:val="003A1F99"/>
    <w:rsid w:val="003C5B0C"/>
    <w:rsid w:val="00407F34"/>
    <w:rsid w:val="004956E0"/>
    <w:rsid w:val="005B27D2"/>
    <w:rsid w:val="00616BBD"/>
    <w:rsid w:val="0078535A"/>
    <w:rsid w:val="008255BE"/>
    <w:rsid w:val="008A2134"/>
    <w:rsid w:val="008C695B"/>
    <w:rsid w:val="00901F37"/>
    <w:rsid w:val="009261E2"/>
    <w:rsid w:val="0096304D"/>
    <w:rsid w:val="009672D7"/>
    <w:rsid w:val="009729C3"/>
    <w:rsid w:val="009D53D6"/>
    <w:rsid w:val="009E23CC"/>
    <w:rsid w:val="00A75C0C"/>
    <w:rsid w:val="00AD75B4"/>
    <w:rsid w:val="00AE3120"/>
    <w:rsid w:val="00B33C55"/>
    <w:rsid w:val="00B65E32"/>
    <w:rsid w:val="00B949B2"/>
    <w:rsid w:val="00C06B3C"/>
    <w:rsid w:val="00C94E97"/>
    <w:rsid w:val="00D16E39"/>
    <w:rsid w:val="00D57A3B"/>
    <w:rsid w:val="00E06D5F"/>
    <w:rsid w:val="00E414E2"/>
    <w:rsid w:val="00F13F53"/>
    <w:rsid w:val="00FC6001"/>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9057E"/>
  <w15:docId w15:val="{D124D4E5-49FD-40DD-8EBE-0940F67DE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6963B7"/>
    <w:rPr>
      <w:color w:val="0000FF" w:themeColor="hyperlink"/>
      <w:u w:val="single"/>
    </w:rPr>
  </w:style>
  <w:style w:type="character" w:customStyle="1" w:styleId="UnresolvedMention">
    <w:name w:val="Unresolved Mention"/>
    <w:basedOn w:val="DefaultParagraphFont"/>
    <w:uiPriority w:val="99"/>
    <w:semiHidden/>
    <w:unhideWhenUsed/>
    <w:qFormat/>
    <w:rsid w:val="006963B7"/>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line="480" w:lineRule="auto"/>
    </w:pPr>
  </w:style>
  <w:style w:type="paragraph" w:styleId="BodyText3">
    <w:name w:val="Body Text 3"/>
    <w:basedOn w:val="Normal"/>
    <w:link w:val="BodyText3Char"/>
    <w:uiPriority w:val="99"/>
    <w:unhideWhenUsed/>
    <w:qFormat/>
    <w:rsid w:val="00AA1D8D"/>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unhideWhenUsed/>
    <w:qFormat/>
    <w:rsid w:val="00FC693F"/>
    <w:pPr>
      <w:outlineLvl w:val="9"/>
    </w:pPr>
  </w:style>
  <w:style w:type="paragraph" w:styleId="TOC1">
    <w:name w:val="toc 1"/>
    <w:basedOn w:val="Normal"/>
    <w:next w:val="Normal"/>
    <w:autoRedefine/>
    <w:uiPriority w:val="39"/>
    <w:unhideWhenUsed/>
    <w:rsid w:val="006963B7"/>
    <w:pPr>
      <w:spacing w:after="100"/>
    </w:pPr>
  </w:style>
  <w:style w:type="paragraph" w:styleId="TOC2">
    <w:name w:val="toc 2"/>
    <w:basedOn w:val="Normal"/>
    <w:next w:val="Normal"/>
    <w:autoRedefine/>
    <w:uiPriority w:val="39"/>
    <w:unhideWhenUsed/>
    <w:rsid w:val="006963B7"/>
    <w:pPr>
      <w:spacing w:after="100"/>
      <w:ind w:left="260"/>
    </w:pPr>
  </w:style>
  <w:style w:type="paragraph" w:styleId="TOC3">
    <w:name w:val="toc 3"/>
    <w:basedOn w:val="Normal"/>
    <w:next w:val="Normal"/>
    <w:autoRedefine/>
    <w:uiPriority w:val="39"/>
    <w:unhideWhenUsed/>
    <w:rsid w:val="006963B7"/>
    <w:pPr>
      <w:spacing w:after="100"/>
      <w:ind w:left="520"/>
    </w:pPr>
  </w:style>
  <w:style w:type="paragraph" w:styleId="TOC4">
    <w:name w:val="toc 4"/>
    <w:basedOn w:val="Normal"/>
    <w:next w:val="Normal"/>
    <w:autoRedefine/>
    <w:uiPriority w:val="39"/>
    <w:unhideWhenUsed/>
    <w:rsid w:val="006963B7"/>
    <w:pPr>
      <w:spacing w:after="100" w:line="278" w:lineRule="auto"/>
      <w:ind w:left="720"/>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6963B7"/>
    <w:pPr>
      <w:spacing w:after="100" w:line="278" w:lineRule="auto"/>
      <w:ind w:left="960"/>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6963B7"/>
    <w:pPr>
      <w:spacing w:after="100" w:line="278" w:lineRule="auto"/>
      <w:ind w:left="1200"/>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6963B7"/>
    <w:pPr>
      <w:spacing w:after="100" w:line="278" w:lineRule="auto"/>
      <w:ind w:left="1440"/>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6963B7"/>
    <w:pPr>
      <w:spacing w:after="100" w:line="278" w:lineRule="auto"/>
      <w:ind w:left="1680"/>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6963B7"/>
    <w:pPr>
      <w:spacing w:after="100" w:line="278" w:lineRule="auto"/>
      <w:ind w:left="1920"/>
    </w:pPr>
    <w:rPr>
      <w:rFonts w:asciiTheme="minorHAnsi" w:eastAsiaTheme="minorEastAsia" w:hAnsiTheme="minorHAnsi"/>
      <w:kern w:val="2"/>
      <w:sz w:val="24"/>
      <w:szCs w:val="24"/>
      <w14:ligatures w14:val="standardContextual"/>
    </w:rPr>
  </w:style>
  <w:style w:type="paragraph" w:customStyle="1" w:styleId="Text">
    <w:name w:val="Text"/>
    <w:basedOn w:val="Normal"/>
    <w:qFormat/>
    <w:rsid w:val="006D06D7"/>
    <w:pPr>
      <w:spacing w:after="160"/>
      <w:ind w:firstLine="720"/>
      <w:jc w:val="both"/>
    </w:pPr>
    <w:rPr>
      <w:rFonts w:eastAsiaTheme="minorHAnsi" w:cs="Times New Roman"/>
      <w:kern w:val="2"/>
      <w:szCs w:val="26"/>
      <w14:ligatures w14:val="standardContextual"/>
    </w:rPr>
  </w:style>
  <w:style w:type="paragraph" w:customStyle="1" w:styleId="FrameContentsuser">
    <w:name w:val="Frame Contents (user)"/>
    <w:basedOn w:val="Normal"/>
    <w:qFormat/>
  </w:style>
  <w:style w:type="paragraph" w:customStyle="1" w:styleId="FrameContents">
    <w:name w:val="Frame Contents"/>
    <w:basedOn w:val="Normal"/>
    <w:qFormat/>
  </w:style>
  <w:style w:type="table" w:styleId="TableGrid">
    <w:name w:val="Table Grid"/>
    <w:basedOn w:val="TableNormal"/>
    <w:uiPriority w:val="3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TableGrid1">
    <w:name w:val="Table Grid1"/>
    <w:basedOn w:val="TableNormal"/>
    <w:uiPriority w:val="59"/>
    <w:rsid w:val="003A3E52"/>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9E8C81-6F5D-4879-A41C-E89FB29B03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8627</TotalTime>
  <Pages>1</Pages>
  <Words>16239</Words>
  <Characters>92565</Characters>
  <Application>Microsoft Office Word</Application>
  <DocSecurity>0</DocSecurity>
  <Lines>771</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Nguyen Le Minh (BTS-CBT-SO)</cp:lastModifiedBy>
  <cp:revision>34</cp:revision>
  <dcterms:created xsi:type="dcterms:W3CDTF">2026-08-05T15:37:00Z</dcterms:created>
  <dcterms:modified xsi:type="dcterms:W3CDTF">2026-08-17T02:20:00Z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Điều chỉnh ngày 30/07/2026: làm rõ target addtocart OR transaction, view là tín hiệu lịch sử, đầu ra là Top-K sản phẩm theo điểm dự báo hành vi mục tiêu.</dc:description>
  <dc:language>en-US</dc:language>
  <cp:lastModifiedBy/>
  <dcterms:modified xsi:type="dcterms:W3CDTF">2026-07-30T06:48:12Z</dcterms:modified>
  <cp:revision>13</cp:revision>
  <dc:subject>Bản điều chỉnh cách định nghĩa đầu ra mô hình: dự báo hành vi mục tiêu dưới dạng Top-K</dc:subject>
  <dc:title>Xây dựng ứng dụng dự báo hành vi khách hàng sử dụng đồ thị tri thức động</dc:title>
</cp:coreProperties>
</file>