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Mục</w:t>
            </w:r>
          </w:p>
        </w:tc>
        <w:tc>
          <w:tcPr>
            <w:tcW w:type="dxa" w:w="2929"/>
          </w:tcPr>
          <w:p>
            <w:r>
              <w:rPr>
                <w:highlight w:val="yellow"/>
              </w:rPr>
            </w:r>
            <w:r>
              <w:rPr>
                <w:b/>
                <w:highlight w:val="yellow"/>
              </w:rPr>
              <w:t>Nội dung sửa</w:t>
            </w:r>
          </w:p>
        </w:tc>
        <w:tc>
          <w:tcPr>
            <w:tcW w:type="dxa" w:w="2929"/>
          </w:tcPr>
          <w:p>
            <w:r>
              <w:rPr>
                <w:highlight w:val="yellow"/>
              </w:rPr>
            </w:r>
            <w:r>
              <w:rPr>
                <w:b/>
                <w:highlight w:val="yellow"/>
              </w:rPr>
              <w:t>Vì sao</w:t>
            </w:r>
          </w:p>
        </w:tc>
      </w:tr>
      <w:tr>
        <w:tc>
          <w:tcPr>
            <w:tcW w:type="dxa" w:w="2929"/>
          </w:tcPr>
          <w:p>
            <w:r>
              <w:rPr>
                <w:highlight w:val="yellow"/>
              </w:rPr>
              <w:t>§3.6</w:t>
            </w:r>
          </w:p>
        </w:tc>
        <w:tc>
          <w:tcPr>
            <w:tcW w:type="dxa" w:w="2929"/>
          </w:tcPr>
          <w:p>
            <w:r>
              <w:rPr>
                <w:highlight w:val="yellow"/>
              </w:rPr>
              <w:t>Bỏ câu "Original dùng weighted BPR, Active dùng BPR chuẩn"; công thức (3.31) giữ nguyên nhưng được mô tả đúng vai trò là ablation</w:t>
            </w:r>
          </w:p>
        </w:tc>
        <w:tc>
          <w:tcPr>
            <w:tcW w:type="dxa" w:w="2929"/>
          </w:tcPr>
          <w:p>
            <w:r>
              <w:rPr>
                <w:highlight w:val="yellow"/>
              </w:rPr>
              <w:t>Code mới chạy BPR chuẩn cho toàn bộ ma trận; có assertion chặn weighted_bpr khỏi ma trận chính</w:t>
            </w:r>
          </w:p>
        </w:tc>
      </w:tr>
      <w:tr>
        <w:tc>
          <w:tcPr>
            <w:tcW w:type="dxa" w:w="2929"/>
          </w:tcPr>
          <w:p>
            <w:r>
              <w:rPr>
                <w:highlight w:val="yellow"/>
              </w:rPr>
              <w:t>§3.4</w:t>
            </w:r>
          </w:p>
        </w:tc>
        <w:tc>
          <w:tcPr>
            <w:tcW w:type="dxa" w:w="2929"/>
          </w:tcPr>
          <w:p>
            <w:r>
              <w:rPr>
                <w:highlight w:val="yellow"/>
              </w:rPr>
              <w:t>Bỏ câu "λ=0.01 được lựa chọn trên tập xác thực"; thay bằng hai thiết lập λ=0.01 và λ=0.05</w:t>
            </w:r>
          </w:p>
        </w:tc>
        <w:tc>
          <w:tcPr>
            <w:tcW w:type="dxa" w:w="2929"/>
          </w:tcPr>
          <w:p>
            <w:r>
              <w:rPr>
                <w:highlight w:val="yellow"/>
              </w:rPr>
              <w:t>Việc dò chưa từng xảy ra với λ=0.01; λ=0.01 kế thừa từ công trình trước</w:t>
            </w:r>
          </w:p>
        </w:tc>
      </w:tr>
      <w:tr>
        <w:tc>
          <w:tcPr>
            <w:tcW w:type="dxa" w:w="2929"/>
          </w:tcPr>
          <w:p>
            <w:r>
              <w:rPr>
                <w:highlight w:val="yellow"/>
              </w:rPr>
              <w:t>§3.4</w:t>
            </w:r>
          </w:p>
        </w:tc>
        <w:tc>
          <w:tcPr>
            <w:tcW w:type="dxa" w:w="2929"/>
          </w:tcPr>
          <w:p>
            <w:r>
              <w:rPr>
                <w:highlight w:val="yellow"/>
              </w:rPr>
              <w:t>Thêm Bảng 3.6 là kết quả quét λ thật trên tập xác thực</w:t>
            </w:r>
          </w:p>
        </w:tc>
        <w:tc>
          <w:tcPr>
            <w:tcW w:type="dxa" w:w="2929"/>
          </w:tcPr>
          <w:p>
            <w:r>
              <w:rPr>
                <w:highlight w:val="yellow"/>
              </w:rPr>
              <w:t>Thay lời khẳng định bằng bằng chứng đo được; đỉnh nằm tại λ=0.05 ở cả hai cohort</w:t>
            </w:r>
          </w:p>
        </w:tc>
      </w:tr>
      <w:tr>
        <w:tc>
          <w:tcPr>
            <w:tcW w:type="dxa" w:w="2929"/>
          </w:tcPr>
          <w:p>
            <w:r>
              <w:rPr>
                <w:highlight w:val="yellow"/>
              </w:rPr>
              <w:t>§3.4</w:t>
            </w:r>
          </w:p>
        </w:tc>
        <w:tc>
          <w:tcPr>
            <w:tcW w:type="dxa" w:w="2929"/>
          </w:tcPr>
          <w:p>
            <w:r>
              <w:rPr>
                <w:highlight w:val="yellow"/>
              </w:rPr>
              <w:t>Giới thiệu mô hình thứ sáu BT-DKGRec-GCN (λ=0.05)</w:t>
            </w:r>
          </w:p>
        </w:tc>
        <w:tc>
          <w:tcPr>
            <w:tcW w:type="dxa" w:w="2929"/>
          </w:tcPr>
          <w:p>
            <w:r>
              <w:rPr>
                <w:highlight w:val="yellow"/>
              </w:rPr>
              <w:t>Mô hình này có trong mọi bảng Chương 4 nhưng chưa từng được nêu ở Chương 3</w:t>
            </w:r>
          </w:p>
        </w:tc>
      </w:tr>
      <w:tr>
        <w:tc>
          <w:tcPr>
            <w:tcW w:type="dxa" w:w="2929"/>
          </w:tcPr>
          <w:p>
            <w:r>
              <w:rPr>
                <w:highlight w:val="yellow"/>
              </w:rPr>
              <w:t>§3.5.2</w:t>
            </w:r>
          </w:p>
        </w:tc>
        <w:tc>
          <w:tcPr>
            <w:tcW w:type="dxa" w:w="2929"/>
          </w:tcPr>
          <w:p>
            <w:r>
              <w:rPr>
                <w:highlight w:val="yellow"/>
              </w:rPr>
              <w:t>Thêm hệ quả của chuẩn hoá đối xứng: trọng số vào lan truyền theo căn bậc hai, tỉ lệ 3:1 giữa transaction và view còn 1.73:1</w:t>
            </w:r>
          </w:p>
        </w:tc>
        <w:tc>
          <w:tcPr>
            <w:tcW w:type="dxa" w:w="2929"/>
          </w:tcPr>
          <w:p>
            <w:r>
              <w:rPr>
                <w:highlight w:val="yellow"/>
              </w:rPr>
              <w:t>Cho người đọc biên độ thật của cơ chế trước khi đọc số, thay vì để Chương 4 giải thích sau</w:t>
            </w:r>
          </w:p>
        </w:tc>
      </w:tr>
      <w:tr>
        <w:tc>
          <w:tcPr>
            <w:tcW w:type="dxa" w:w="2929"/>
          </w:tcPr>
          <w:p>
            <w:r>
              <w:rPr>
                <w:highlight w:val="yellow"/>
              </w:rPr>
              <w:t>§3.8</w:t>
            </w:r>
          </w:p>
        </w:tc>
        <w:tc>
          <w:tcPr>
            <w:tcW w:type="dxa" w:w="2929"/>
          </w:tcPr>
          <w:p>
            <w:r>
              <w:rPr>
                <w:highlight w:val="yellow"/>
              </w:rPr>
              <w:t>Thêm early stopping: tối đa 1000 epoch, đánh giá mỗi 5 epoch, patience 20, riêng cohort Active là 50 và đặt ở cấp cohort</w:t>
            </w:r>
          </w:p>
        </w:tc>
        <w:tc>
          <w:tcPr>
            <w:tcW w:type="dxa" w:w="2929"/>
          </w:tcPr>
          <w:p>
            <w:r>
              <w:rPr>
                <w:highlight w:val="yellow"/>
              </w:rPr>
              <w:t>v11 mô tả một quy trình huấn luyện không có điểm dừng</w:t>
            </w:r>
          </w:p>
        </w:tc>
      </w:tr>
      <w:tr>
        <w:tc>
          <w:tcPr>
            <w:tcW w:type="dxa" w:w="2929"/>
          </w:tcPr>
          <w:p>
            <w:r>
              <w:rPr>
                <w:highlight w:val="yellow"/>
              </w:rPr>
              <w:t>§3.8</w:t>
            </w:r>
          </w:p>
        </w:tc>
        <w:tc>
          <w:tcPr>
            <w:tcW w:type="dxa" w:w="2929"/>
          </w:tcPr>
          <w:p>
            <w:r>
              <w:rPr>
                <w:highlight w:val="yellow"/>
              </w:rPr>
              <w:t>Thêm ba seed 2020, 2021, 2022; thêm curves.csv; thêm phân tầng warm theo bậc</w:t>
            </w:r>
          </w:p>
        </w:tc>
        <w:tc>
          <w:tcPr>
            <w:tcW w:type="dxa" w:w="2929"/>
          </w:tcPr>
          <w:p>
            <w:r>
              <w:rPr>
                <w:highlight w:val="yellow"/>
              </w:rPr>
              <w:t>Hai lỗ hổng nặng nhất của v11 đã được khắc phục nhưng tài liệu chưa phản ánh</w:t>
            </w:r>
          </w:p>
        </w:tc>
      </w:tr>
      <w:tr>
        <w:tc>
          <w:tcPr>
            <w:tcW w:type="dxa" w:w="2929"/>
          </w:tcPr>
          <w:p>
            <w:r>
              <w:rPr>
                <w:highlight w:val="yellow"/>
              </w:rPr>
              <w:t>§3.3.3</w:t>
            </w:r>
          </w:p>
        </w:tc>
        <w:tc>
          <w:tcPr>
            <w:tcW w:type="dxa" w:w="2929"/>
          </w:tcPr>
          <w:p>
            <w:r>
              <w:rPr>
                <w:highlight w:val="yellow"/>
              </w:rPr>
              <w:t>Nêu rõ 10 assertion chống rò rỉ đang chạy trong pipeline</w:t>
            </w:r>
          </w:p>
        </w:tc>
        <w:tc>
          <w:tcPr>
            <w:tcW w:type="dxa" w:w="2929"/>
          </w:tcPr>
          <w:p>
            <w:r>
              <w:rPr>
                <w:highlight w:val="yellow"/>
              </w:rPr>
              <w:t>v11 chỉ nói "kiểm tra tính hợp lệ", giấu mất điểm mạnh nhất của bản dựng lại</w:t>
            </w:r>
          </w:p>
        </w:tc>
      </w:tr>
      <w:tr>
        <w:tc>
          <w:tcPr>
            <w:tcW w:type="dxa" w:w="2929"/>
          </w:tcPr>
          <w:p>
            <w:r>
              <w:rPr>
                <w:highlight w:val="yellow"/>
              </w:rPr>
              <w:t>Bảng 3.4</w:t>
            </w:r>
          </w:p>
        </w:tc>
        <w:tc>
          <w:tcPr>
            <w:tcW w:type="dxa" w:w="2929"/>
          </w:tcPr>
          <w:p>
            <w:r>
              <w:rPr>
                <w:highlight w:val="yellow"/>
              </w:rPr>
              <w:t>Ô "Lọc thuộc tính": thay mô tả mơ hồ bằng ngưỡng thật (dưới 5 lần, tối đa 50.000 node, bỏ categoryid và available)</w:t>
            </w:r>
          </w:p>
        </w:tc>
        <w:tc>
          <w:tcPr>
            <w:tcW w:type="dxa" w:w="2929"/>
          </w:tcPr>
          <w:p>
            <w:r>
              <w:rPr>
                <w:highlight w:val="yellow"/>
              </w:rPr>
              <w:t>Người đọc không tái lập được từ một mô tả mơ hồ</w:t>
            </w:r>
          </w:p>
        </w:tc>
      </w:tr>
      <w:tr>
        <w:tc>
          <w:tcPr>
            <w:tcW w:type="dxa" w:w="2929"/>
          </w:tcPr>
          <w:p>
            <w:r>
              <w:rPr>
                <w:highlight w:val="yellow"/>
              </w:rPr>
              <w:t>§3.7.2</w:t>
            </w:r>
          </w:p>
        </w:tc>
        <w:tc>
          <w:tcPr>
            <w:tcW w:type="dxa" w:w="2929"/>
          </w:tcPr>
          <w:p>
            <w:r>
              <w:rPr>
                <w:highlight w:val="yellow"/>
              </w:rPr>
              <w:t>Ứng dụng đọc bộ tệp CSV xuất ra thay vì truy vấn Neo4j trực tiếp; bỏ mô tả "hai chế độ"</w:t>
            </w:r>
          </w:p>
        </w:tc>
        <w:tc>
          <w:tcPr>
            <w:tcW w:type="dxa" w:w="2929"/>
          </w:tcPr>
          <w:p>
            <w:r>
              <w:rPr>
                <w:highlight w:val="yellow"/>
              </w:rPr>
              <w:t>Mô tả cũ không khớp với ứng dụng đã hiện thực</w:t>
            </w:r>
          </w:p>
        </w:tc>
      </w:tr>
      <w:tr>
        <w:tc>
          <w:tcPr>
            <w:tcW w:type="dxa" w:w="2929"/>
          </w:tcPr>
          <w:p>
            <w:r>
              <w:rPr>
                <w:highlight w:val="yellow"/>
              </w:rPr>
              <w:t>§3.7.2</w:t>
            </w:r>
          </w:p>
        </w:tc>
        <w:tc>
          <w:tcPr>
            <w:tcW w:type="dxa" w:w="2929"/>
          </w:tcPr>
          <w:p>
            <w:r>
              <w:rPr>
                <w:highlight w:val="yellow"/>
              </w:rPr>
              <w:t>Thêm kết quả kiểm nhất quán hai lớp: 1.570.409 cặp từ 2.024.042 sự kiện, sai khác lớn nhất bằng 0</w:t>
            </w:r>
          </w:p>
        </w:tc>
        <w:tc>
          <w:tcPr>
            <w:tcW w:type="dxa" w:w="2929"/>
          </w:tcPr>
          <w:p>
            <w:r>
              <w:rPr>
                <w:highlight w:val="yellow"/>
              </w:rPr>
              <w:t>Bằng chứng kiểm chứng được, thay cho lời mô tả suông</w:t>
            </w:r>
          </w:p>
        </w:tc>
      </w:tr>
      <w:tr>
        <w:tc>
          <w:tcPr>
            <w:tcW w:type="dxa" w:w="2929"/>
          </w:tcPr>
          <w:p>
            <w:r>
              <w:rPr>
                <w:highlight w:val="yellow"/>
              </w:rPr>
              <w:t>[v13] §1.1</w:t>
            </w:r>
          </w:p>
        </w:tc>
        <w:tc>
          <w:tcPr>
            <w:tcW w:type="dxa" w:w="2929"/>
          </w:tcPr>
          <w:p>
            <w:r>
              <w:rPr>
                <w:highlight w:val="yellow"/>
              </w:rPr>
              <w:t>Bổ sung trích dẫn cho đoạn bối cảnh (KG trong recommender, temporal KG, nguồn dữ liệu)</w:t>
            </w:r>
          </w:p>
        </w:tc>
        <w:tc>
          <w:tcPr>
            <w:tcW w:type="dxa" w:w="2929"/>
          </w:tcPr>
          <w:p>
            <w:r>
              <w:rPr>
                <w:highlight w:val="yellow"/>
              </w:rPr>
              <w:t>Mục bối cảnh trước đây không có trích dẫn nào</w:t>
            </w:r>
          </w:p>
        </w:tc>
      </w:tr>
      <w:tr>
        <w:tc>
          <w:tcPr>
            <w:tcW w:type="dxa" w:w="2929"/>
          </w:tcPr>
          <w:p>
            <w:r>
              <w:rPr>
                <w:highlight w:val="yellow"/>
              </w:rPr>
              <w:t>[v13] §1.3.2</w:t>
            </w:r>
          </w:p>
        </w:tc>
        <w:tc>
          <w:tcPr>
            <w:tcW w:type="dxa" w:w="2929"/>
          </w:tcPr>
          <w:p>
            <w:r>
              <w:rPr>
                <w:highlight w:val="yellow"/>
              </w:rPr>
              <w:t>Danh sách mô hình so sánh: năm mô hình thành sáu, thêm BT-DKGRec-GCN (λ=0.05)</w:t>
            </w:r>
          </w:p>
        </w:tc>
        <w:tc>
          <w:tcPr>
            <w:tcW w:type="dxa" w:w="2929"/>
          </w:tcPr>
          <w:p>
            <w:r>
              <w:rPr>
                <w:highlight w:val="yellow"/>
              </w:rPr>
              <w:t>Mô hình thứ sáu đã có trong mọi bảng Chương 4 nhưng chưa được nêu ở Chương 1</w:t>
            </w:r>
          </w:p>
        </w:tc>
      </w:tr>
      <w:tr>
        <w:tc>
          <w:tcPr>
            <w:tcW w:type="dxa" w:w="2929"/>
          </w:tcPr>
          <w:p>
            <w:r>
              <w:rPr>
                <w:highlight w:val="yellow"/>
              </w:rPr>
              <w:t>[v13] §1.4</w:t>
            </w:r>
          </w:p>
        </w:tc>
        <w:tc>
          <w:tcPr>
            <w:tcW w:type="dxa" w:w="2929"/>
          </w:tcPr>
          <w:p>
            <w:r>
              <w:rPr>
                <w:highlight w:val="yellow"/>
              </w:rPr>
              <w:t>Đánh số hai tiêu đề "Đối tượng nghiên cứu" và "Phạm vi nghiên cứu" thành 1.4.1 và 1.4.2</w:t>
            </w:r>
          </w:p>
        </w:tc>
        <w:tc>
          <w:tcPr>
            <w:tcW w:type="dxa" w:w="2929"/>
          </w:tcPr>
          <w:p>
            <w:r>
              <w:rPr>
                <w:highlight w:val="yellow"/>
              </w:rPr>
              <w:t>Hai tiêu đề này là Heading 3 nhưng không có số, nên vào mục lục không khớp với các mục còn lại</w:t>
            </w:r>
          </w:p>
        </w:tc>
      </w:tr>
      <w:tr>
        <w:tc>
          <w:tcPr>
            <w:tcW w:type="dxa" w:w="2929"/>
          </w:tcPr>
          <w:p>
            <w:r>
              <w:rPr>
                <w:highlight w:val="yellow"/>
              </w:rPr>
              <w:t>[v13] §1.5</w:t>
            </w:r>
          </w:p>
        </w:tc>
        <w:tc>
          <w:tcPr>
            <w:tcW w:type="dxa" w:w="2929"/>
          </w:tcPr>
          <w:p>
            <w:r>
              <w:rPr>
                <w:highlight w:val="yellow"/>
              </w:rPr>
              <w:t>Thêm mục "Nội dung và phương pháp nghiên cứu"</w:t>
            </w:r>
          </w:p>
        </w:tc>
        <w:tc>
          <w:tcPr>
            <w:tcW w:type="dxa" w:w="2929"/>
          </w:tcPr>
          <w:p>
            <w:r>
              <w:rPr>
                <w:highlight w:val="yellow"/>
              </w:rPr>
              <w:t>Chương 1 trước đây không nêu phương pháp nghiên cứu và không nêu kỷ luật thực nghiệm</w:t>
            </w:r>
          </w:p>
        </w:tc>
      </w:tr>
      <w:tr>
        <w:tc>
          <w:tcPr>
            <w:tcW w:type="dxa" w:w="2929"/>
          </w:tcPr>
          <w:p>
            <w:r>
              <w:rPr>
                <w:highlight w:val="yellow"/>
              </w:rPr>
              <w:t>[v13] Bảng 2.2</w:t>
            </w:r>
          </w:p>
        </w:tc>
        <w:tc>
          <w:tcPr>
            <w:tcW w:type="dxa" w:w="2929"/>
          </w:tcPr>
          <w:p>
            <w:r>
              <w:rPr>
                <w:highlight w:val="yellow"/>
              </w:rPr>
              <w:t>Bổ sung điều kiện thứ hai vào định nghĩa warm user</w:t>
            </w:r>
          </w:p>
        </w:tc>
        <w:tc>
          <w:tcPr>
            <w:tcW w:type="dxa" w:w="2929"/>
          </w:tcPr>
          <w:p>
            <w:r>
              <w:rPr>
                <w:highlight w:val="yellow"/>
              </w:rPr>
              <w:t>Định nghĩa cũ chỉ nêu "có lịch sử trong train", không giải thích được vì sao tập đánh giá chỉ còn 593 người dùng</w:t>
            </w:r>
          </w:p>
        </w:tc>
      </w:tr>
      <w:tr>
        <w:tc>
          <w:tcPr>
            <w:tcW w:type="dxa" w:w="2929"/>
          </w:tcPr>
          <w:p>
            <w:r>
              <w:rPr>
                <w:highlight w:val="yellow"/>
              </w:rPr>
              <w:t>[v13] §2.4</w:t>
            </w:r>
          </w:p>
        </w:tc>
        <w:tc>
          <w:tcPr>
            <w:tcW w:type="dxa" w:w="2929"/>
          </w:tcPr>
          <w:p>
            <w:r>
              <w:rPr>
                <w:highlight w:val="yellow"/>
              </w:rPr>
              <w:t>Chuyển câu "Khoảng trống phù hợp nên được đặt ở..." thành câu tường thuật</w:t>
            </w:r>
          </w:p>
        </w:tc>
        <w:tc>
          <w:tcPr>
            <w:tcW w:type="dxa" w:w="2929"/>
          </w:tcPr>
          <w:p>
            <w:r>
              <w:rPr>
                <w:highlight w:val="yellow"/>
              </w:rPr>
              <w:t>Văn phong khoa học trình bày phạm vi đã chọn, không tự khuyến nghị cho chính mình</w:t>
            </w:r>
          </w:p>
        </w:tc>
      </w:tr>
      <w:tr>
        <w:tc>
          <w:tcPr>
            <w:tcW w:type="dxa" w:w="2929"/>
          </w:tcPr>
          <w:p>
            <w:r>
              <w:rPr>
                <w:highlight w:val="yellow"/>
              </w:rPr>
              <w:t>[v13] §2.6</w:t>
            </w:r>
          </w:p>
        </w:tc>
        <w:tc>
          <w:tcPr>
            <w:tcW w:type="dxa" w:w="2929"/>
          </w:tcPr>
          <w:p>
            <w:r>
              <w:rPr>
                <w:highlight w:val="yellow"/>
              </w:rPr>
              <w:t>Bỏ phát biểu "BT-DKGRec-GCN gần LightGCN nhưng vẫn thấp hơn nhẹ ở Recall@20 và NDCG@20"</w:t>
            </w:r>
          </w:p>
        </w:tc>
        <w:tc>
          <w:tcPr>
            <w:tcW w:type="dxa" w:w="2929"/>
          </w:tcPr>
          <w:p>
            <w:r>
              <w:rPr>
                <w:highlight w:val="yellow"/>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highlight w:val="yellow"/>
              </w:rPr>
              <w:t>[v13] §2.6</w:t>
            </w:r>
          </w:p>
        </w:tc>
        <w:tc>
          <w:tcPr>
            <w:tcW w:type="dxa" w:w="2929"/>
          </w:tcPr>
          <w:p>
            <w:r>
              <w:rPr>
                <w:highlight w:val="yellow"/>
              </w:rPr>
              <w:t>Sửa câu về BPR: cụm "cũ hơn cửa sổ tài liệu chính của đề tài" không có nghĩa</w:t>
            </w:r>
          </w:p>
        </w:tc>
        <w:tc>
          <w:tcPr>
            <w:tcW w:type="dxa" w:w="2929"/>
          </w:tcPr>
          <w:p>
            <w:r>
              <w:rPr>
                <w:highlight w:val="yellow"/>
              </w:rPr>
              <w:t>Lỗi diễn đạt còn sót lại từ bản trước</w:t>
            </w:r>
          </w:p>
        </w:tc>
      </w:tr>
      <w:tr>
        <w:tc>
          <w:tcPr>
            <w:tcW w:type="dxa" w:w="2929"/>
          </w:tcPr>
          <w:p>
            <w:r>
              <w:rPr>
                <w:highlight w:val="yellow"/>
              </w:rPr>
              <w:t>[v13] §2.7</w:t>
            </w:r>
          </w:p>
        </w:tc>
        <w:tc>
          <w:tcPr>
            <w:tcW w:type="dxa" w:w="2929"/>
          </w:tcPr>
          <w:p>
            <w:r>
              <w:rPr>
                <w:highlight w:val="yellow"/>
              </w:rPr>
              <w:t>Sửa câu cụt "Thay vì trình bày lại các công thức chuẩn..."</w:t>
            </w:r>
          </w:p>
        </w:tc>
        <w:tc>
          <w:tcPr>
            <w:tcW w:type="dxa" w:w="2929"/>
          </w:tcPr>
          <w:p>
            <w:r>
              <w:rPr>
                <w:highlight w:val="yellow"/>
              </w:rPr>
              <w:t>Câu không có mệnh đề chính</w:t>
            </w:r>
          </w:p>
        </w:tc>
      </w:tr>
      <w:tr>
        <w:tc>
          <w:tcPr>
            <w:tcW w:type="dxa" w:w="2929"/>
          </w:tcPr>
          <w:p>
            <w:r>
              <w:rPr>
                <w:highlight w:val="yellow"/>
              </w:rPr>
              <w:t>[v13] §2.7 và §4.1.2</w:t>
            </w:r>
          </w:p>
        </w:tc>
        <w:tc>
          <w:tcPr>
            <w:tcW w:type="dxa" w:w="2929"/>
          </w:tcPr>
          <w:p>
            <w:r>
              <w:rPr>
                <w:highlight w:val="yellow"/>
              </w:rPr>
              <w:t>Sửa lỗi nhân đôi "Người dùng có lịch sử (người dùng có lịch sử)" ở cả hai chỗ</w:t>
            </w:r>
          </w:p>
        </w:tc>
        <w:tc>
          <w:tcPr>
            <w:tcW w:type="dxa" w:w="2929"/>
          </w:tcPr>
          <w:p>
            <w:r>
              <w:rPr>
                <w:highlight w:val="yellow"/>
              </w:rPr>
              <w:t>Vết của một lần tìm-thay thế thuật ngữ ăn cả vào phần chú thích trong ngoặc</w:t>
            </w:r>
          </w:p>
        </w:tc>
      </w:tr>
      <w:tr>
        <w:tc>
          <w:tcPr>
            <w:tcW w:type="dxa" w:w="2929"/>
          </w:tcPr>
          <w:p>
            <w:r>
              <w:rPr>
                <w:highlight w:val="yellow"/>
              </w:rPr>
              <w:t>[v13] §2.8</w:t>
            </w:r>
          </w:p>
        </w:tc>
        <w:tc>
          <w:tcPr>
            <w:tcW w:type="dxa" w:w="2929"/>
          </w:tcPr>
          <w:p>
            <w:r>
              <w:rPr>
                <w:highlight w:val="yellow"/>
              </w:rPr>
              <w:t>Bổ sung đoạn định vị MBGCN và KHGT, kèm hai mục [19] và [20] vào thư mục tham khảo</w:t>
            </w:r>
          </w:p>
        </w:tc>
        <w:tc>
          <w:tcPr>
            <w:tcW w:type="dxa" w:w="2929"/>
          </w:tcPr>
          <w:p>
            <w:r>
              <w:rPr>
                <w:highlight w:val="yellow"/>
              </w:rPr>
              <w:t>Đề án phát biểu α và λ kế thừa từ hai công trình này nhưng không trích dẫn chúng; đây là một lỗ hổng trích dẫn hội đồng dễ hỏi</w:t>
            </w:r>
          </w:p>
        </w:tc>
      </w:tr>
      <w:tr>
        <w:tc>
          <w:tcPr>
            <w:tcW w:type="dxa" w:w="2929"/>
          </w:tcPr>
          <w:p>
            <w:r>
              <w:rPr>
                <w:highlight w:val="yellow"/>
              </w:rPr>
              <w:t>[v14] Chương 3</w:t>
            </w:r>
          </w:p>
        </w:tc>
        <w:tc>
          <w:tcPr>
            <w:tcW w:type="dxa" w:w="2929"/>
          </w:tcPr>
          <w:p>
            <w:r>
              <w:rPr>
                <w:highlight w:val="yellow"/>
              </w:rPr>
              <w:t>Viết lại các đoạn dẫn vào công thức bị cắt để không còn câu lửng</w:t>
            </w:r>
          </w:p>
        </w:tc>
        <w:tc>
          <w:tcPr>
            <w:tcW w:type="dxa" w:w="2929"/>
          </w:tcPr>
          <w:p>
            <w:r>
              <w:rPr>
                <w:highlight w:val="yellow"/>
              </w:rPr>
              <w:t>Xoá công thức mà giữ nguyên câu dẫn sẽ để lại dấu hai chấm không có gì theo sau</w:t>
            </w:r>
          </w:p>
        </w:tc>
      </w:tr>
      <w:tr>
        <w:tc>
          <w:tcPr>
            <w:tcW w:type="dxa" w:w="2929"/>
          </w:tcPr>
          <w:p>
            <w:r>
              <w:rPr>
                <w:highlight w:val="yellow"/>
              </w:rPr>
              <w:t>[v14] Chương 3</w:t>
            </w:r>
          </w:p>
        </w:tc>
        <w:tc>
          <w:tcPr>
            <w:tcW w:type="dxa" w:w="2929"/>
          </w:tcPr>
          <w:p>
            <w:r>
              <w:rPr>
                <w:highlight w:val="yellow"/>
              </w:rPr>
              <w:t>Cắt 4 công thức ((3.11), (3.12), (3.19), (3.20)): Input/Output của thuật toán bị đánh số như công thức</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4 công thức ((3.13), (3.14), (3.15), (3.22)): công thức trùng lặp giữa mục thuật toán và mục mô hình</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5 công thức ((3.2), (3.4), (3.5), (3.7), (3.9)): ký hiệu tập hợp dàn trải ở mục 3.3.2</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Đánh số lại 18 công thức còn lại; (3.16)-(3.18) trở thành (3.6)-(3.8)</w:t>
            </w:r>
          </w:p>
        </w:tc>
        <w:tc>
          <w:tcPr>
            <w:tcW w:type="dxa" w:w="2929"/>
          </w:tcPr>
          <w:p>
            <w:r>
              <w:rPr>
                <w:highlight w:val="yellow"/>
              </w:rPr>
              <w:t>Ba công thức đóng góp riêng nằm sớm hơn trong chương nên dễ chỉ khi bảo vệ</w:t>
            </w:r>
          </w:p>
        </w:tc>
      </w:tr>
      <w:tr>
        <w:tc>
          <w:tcPr>
            <w:tcW w:type="dxa" w:w="2929"/>
          </w:tcPr>
          <w:p>
            <w:r>
              <w:rPr>
                <w:highlight w:val="yellow"/>
              </w:rPr>
              <w:t>[v15] Chương 4</w:t>
            </w:r>
          </w:p>
        </w:tc>
        <w:tc>
          <w:tcPr>
            <w:tcW w:type="dxa" w:w="2929"/>
          </w:tcPr>
          <w:p>
            <w:r>
              <w:rPr>
                <w:highlight w:val="yellow"/>
              </w:rPr>
              <w:t>Ghép 5 mục từ bản Chương 4 sinh lại với đủ 36 lần chạy</w:t>
            </w:r>
          </w:p>
        </w:tc>
        <w:tc>
          <w:tcPr>
            <w:tcW w:type="dxa" w:w="2929"/>
          </w:tcPr>
          <w:p>
            <w:r>
              <w:rPr>
                <w:highlight w:val="yellow"/>
              </w:rPr>
              <w:t>Các mục này trước đây mang số của bản v11, khi mọi mô hình mới chạy 10 epoch</w:t>
            </w:r>
          </w:p>
        </w:tc>
      </w:tr>
      <w:tr>
        <w:tc>
          <w:tcPr>
            <w:tcW w:type="dxa" w:w="2929"/>
          </w:tcPr>
          <w:p>
            <w:r>
              <w:rPr>
                <w:highlight w:val="yellow"/>
              </w:rPr>
              <w:t>[v15] §4.2.4</w:t>
            </w:r>
          </w:p>
        </w:tc>
        <w:tc>
          <w:tcPr>
            <w:tcW w:type="dxa" w:w="2929"/>
          </w:tcPr>
          <w:p>
            <w:r>
              <w:rPr>
                <w:highlight w:val="yellow"/>
              </w:rPr>
              <w:t>Viết lại toàn mục dựa trên thang sáu bậc đã chạy, thay cho bảng ablation của bản v11</w:t>
            </w:r>
          </w:p>
        </w:tc>
        <w:tc>
          <w:tcPr>
            <w:tcW w:type="dxa" w:w="2929"/>
          </w:tcPr>
          <w:p>
            <w:r>
              <w:rPr>
                <w:highlight w:val="yellow"/>
              </w:rPr>
              <w:t>Bảng cũ dùng ba cấu hình chưa từng được chạy lại; không thể thay số vào một thí nghiệm chưa tồn tại</w:t>
            </w:r>
          </w:p>
        </w:tc>
      </w:tr>
      <w:tr>
        <w:tc>
          <w:tcPr>
            <w:tcW w:type="dxa" w:w="2929"/>
          </w:tcPr>
          <w:p>
            <w:r>
              <w:rPr>
                <w:highlight w:val="yellow"/>
              </w:rPr>
              <w:t>[v15] §4.4.1</w:t>
            </w:r>
          </w:p>
        </w:tc>
        <w:tc>
          <w:tcPr>
            <w:tcW w:type="dxa" w:w="2929"/>
          </w:tcPr>
          <w:p>
            <w:r>
              <w:rPr>
                <w:highlight w:val="yellow"/>
              </w:rPr>
              <w:t>Cập nhật số liệu theo kết quả ba seed</w:t>
            </w:r>
          </w:p>
        </w:tc>
        <w:tc>
          <w:tcPr>
            <w:tcW w:type="dxa" w:w="2929"/>
          </w:tcPr>
          <w:p>
            <w:r>
              <w:rPr>
                <w:highlight w:val="yellow"/>
              </w:rPr>
              <w:t>Mục này còn trích giá trị 0.021625 của bản v11</w:t>
            </w:r>
          </w:p>
        </w:tc>
      </w:tr>
      <w:tr>
        <w:tc>
          <w:tcPr>
            <w:tcW w:type="dxa" w:w="2929"/>
          </w:tcPr>
          <w:p>
            <w:r>
              <w:rPr>
                <w:highlight w:val="yellow"/>
              </w:rPr>
              <w:t>[v15] §5.1.2</w:t>
            </w:r>
          </w:p>
        </w:tc>
        <w:tc>
          <w:tcPr>
            <w:tcW w:type="dxa" w:w="2929"/>
          </w:tcPr>
          <w:p>
            <w:r>
              <w:rPr>
                <w:highlight w:val="yellow"/>
              </w:rPr>
              <w:t>Cập nhật toàn bộ số liệu tổng kết theo kết quả ba seed</w:t>
            </w:r>
          </w:p>
        </w:tc>
        <w:tc>
          <w:tcPr>
            <w:tcW w:type="dxa" w:w="2929"/>
          </w:tcPr>
          <w:p>
            <w:r>
              <w:rPr>
                <w:highlight w:val="yellow"/>
              </w:rPr>
              <w:t>Mục này còn trích bốn giá trị của bản v11</w:t>
            </w:r>
          </w:p>
        </w:tc>
      </w:tr>
      <w:tr>
        <w:tc>
          <w:tcPr>
            <w:tcW w:type="dxa" w:w="2929"/>
          </w:tcPr>
          <w:p>
            <w:r>
              <w:rPr>
                <w:highlight w:val="yellow"/>
              </w:rPr>
              <w:t>[v15] §5.3.2</w:t>
            </w:r>
          </w:p>
        </w:tc>
        <w:tc>
          <w:tcPr>
            <w:tcW w:type="dxa" w:w="2929"/>
          </w:tcPr>
          <w:p>
            <w:r>
              <w:rPr>
                <w:highlight w:val="yellow"/>
              </w:rPr>
              <w:t>Bỏ phát biểu "BT-DKGRec-GCN chưa vượt LightGCN"; thay bằng các hạn chế thật của bản dựng lại</w:t>
            </w:r>
          </w:p>
        </w:tc>
        <w:tc>
          <w:tcPr>
            <w:tcW w:type="dxa" w:w="2929"/>
          </w:tcPr>
          <w:p>
            <w:r>
              <w:rPr>
                <w:highlight w:val="yellow"/>
              </w:rPr>
              <w:t>Phát biểu cũ lấy từ số v11 và đã bị kết quả ba seed bác bỏ; hạn chế thật nằm ở cỡ mẫu và ở Coverage</w:t>
            </w:r>
          </w:p>
        </w:tc>
      </w:tr>
      <w:tr>
        <w:tc>
          <w:tcPr>
            <w:tcW w:type="dxa" w:w="2929"/>
          </w:tcPr>
          <w:p>
            <w:r>
              <w:rPr>
                <w:highlight w:val="yellow"/>
              </w:rPr>
              <w:t>[v15] Danh mục hình</w:t>
            </w:r>
          </w:p>
        </w:tc>
        <w:tc>
          <w:tcPr>
            <w:tcW w:type="dxa" w:w="2929"/>
          </w:tcPr>
          <w:p>
            <w:r>
              <w:rPr>
                <w:highlight w:val="yellow"/>
              </w:rPr>
              <w:t>Thêm hai mục Hình 4.5 và Hình 4.6</w:t>
            </w:r>
          </w:p>
        </w:tc>
        <w:tc>
          <w:tcPr>
            <w:tcW w:type="dxa" w:w="2929"/>
          </w:tcPr>
          <w:p>
            <w:r>
              <w:rPr>
                <w:highlight w:val="yellow"/>
              </w:rPr>
              <w:t>Danh mục này gõ tay nên Word không tự cập nhật khi thêm hình mới vào thân bài</w:t>
            </w:r>
          </w:p>
        </w:tc>
      </w:tr>
      <w:tr>
        <w:tc>
          <w:tcPr>
            <w:tcW w:type="dxa" w:w="2929"/>
          </w:tcPr>
          <w:p>
            <w:r>
              <w:rPr>
                <w:highlight w:val="yellow"/>
              </w:rPr>
              <w:t>[v15] Tóm tắt và Summary</w:t>
            </w:r>
          </w:p>
        </w:tc>
        <w:tc>
          <w:tcPr>
            <w:tcW w:type="dxa" w:w="2929"/>
          </w:tcPr>
          <w:p>
            <w:r>
              <w:rPr>
                <w:highlight w:val="yellow"/>
              </w:rPr>
              <w:t>Cập nhật số liệu theo kết quả ba seed</w:t>
            </w:r>
          </w:p>
        </w:tc>
        <w:tc>
          <w:tcPr>
            <w:tcW w:type="dxa" w:w="2929"/>
          </w:tcPr>
          <w:p>
            <w:r>
              <w:rPr>
                <w:highlight w:val="yellow"/>
              </w:rPr>
              <w:t>Hai phần này còn trích giá trị của bản v11</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highlight w:val="yellow"/>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Toàn bộ ma trận thực nghiệm gồm sáu mô hình, ba seed và hai nhóm người dùng, tổng cộng 36 lần chạy, trong đó mọi mô hình được huấn luyện đến khi tập xác thực không còn cải thiện. Trên 593 người dùng thuộc nhóm đánh giá ban đầu, BT-DKGRec-GCN đạt Recall@20 = 0.030453, NDCG@20 = 0.017704 và HitRate@20 = 0.060708, so với Recall@20 = 0.023736 của LightGCN, tương ứng mức cải thiện 28,3%. Trên nhóm 234 người dùng có ít nhất 5 sự kiện trong tập huấn luyện, mô hình đạt Recall@20 = 0.038004, NDCG@20 = 0.025916 và HitRate@20 = 0.095442, so với 0.028601 của LightGCN, tương ứng 32,9%. Thứ tự giữa các mô hình giữ nguyên trên cả hai nhóm người dùng và cả bốn chỉ số đánh giá. Các kết quả này chỉ có giá trị trong phạm vi thực nghiệm của đề tài do cỡ nhóm đánh giá còn nhỏ và số lần chạy cho mỗi cấu hình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highlight w:val="yellow"/>
        </w:rPr>
        <w:t>The evaluation protocol applies a 70/10/20 temporal split, builds identity mappings and the candidate universe from training data only, excludes previously interacted items, and reports Recall@K, NDCG@K, HitRate@K, and Coverage@K. The full experimental matrix covers six models, three seeds, and two visitor groups for a total of 36 runs, with every model trained until validation stops improving. On 593 original warm users, BT-DKGRec-GCN obtains Recall@20 = 0.030453, NDCG@20 = 0.017704, and HitRate@20 = 0.060708, against Recall@20 = 0.023736 for LightGCN, a 28.3% improvement. On active warm users with at least five training events, the model reaches Recall@20 = 0.038004, NDCG@20 = 0.025916, and HitRate@20 = 0.095442, against 0.028601 for LightGCN, a 32.9% improvement. The ordering among models is preserved across both visitor groups and all four evaluation metrics. This evidence remains conditional on the scope of the study, as the evaluation cohorts are small and each configuration was run a limited number of times.</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pPr>
        <w:pStyle w:val="ListBullet"/>
      </w:pPr>
      <w:r>
        <w:rPr>
          <w:highlight w:val="yellow"/>
        </w:rPr>
        <w:t>Hình 4.5. Đồ thị tri thức tĩnh so với đồ thị tri thức động, cả bốn chỉ số tại K = 20</w:t>
      </w:r>
    </w:p>
    <w:p>
      <w:pPr>
        <w:pStyle w:val="ListBullet"/>
      </w:pPr>
      <w:r>
        <w:rPr>
          <w:highlight w:val="yellow"/>
        </w:rPr>
        <w:t>Hình 4.6. Người dùng có lịch sử so với người dùng chưa có lịch sử, nhóm đánh giá ban đầu tại K = 20</w:t>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highlight w:val="yellow"/>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highlight w:val="yellow"/>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highlight w:val="yellow"/>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highlight w:val="yellow"/>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highlight w:val="yellow"/>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highlight w:val="yellow"/>
        </w:rPr>
        <w:t>1.5. Nội dung và phương pháp nghiên cứu</w:t>
      </w:r>
    </w:p>
    <w:p>
      <w:pPr>
        <w:jc w:val="both"/>
      </w:pPr>
      <w:r>
        <w:rPr>
          <w:highlight w:val="yellow"/>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highlight w:val="yellow"/>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highlight w:val="yellow"/>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highlight w:val="yellow"/>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highlight w:val="yellow"/>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highlight w:val="yellow"/>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highlight w:val="yellow"/>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highlight w:val="yellow"/>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highlight w:val="yellow"/>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highlight w:val="yellow"/>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highlight w:val="yellow"/>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highlight w:val="yellow"/>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highlight w:val="yellow"/>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highlight w:val="yellow"/>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highlight w:val="yellow"/>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highlight w:val="yellow"/>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highlight w:val="yellow"/>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highlight w:val="yellow"/>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highlight w:val="yellow"/>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highlight w:val="yellow"/>
        </w:rPr>
        <w:t>4.2.1. Quá trình huấn luyện và cấu hình mô hình</w:t>
      </w:r>
      <w:bookmarkEnd w:id="110"/>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rPr>
        <w:t>Bảng 4.4.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rPr>
        <w:t>Bảng 4.4b.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highlight w:val="yellow"/>
        </w:rPr>
        <w:t>4.2.2. Kết quả trên nhóm người dùng có lịch sử ban đầu</w:t>
      </w:r>
      <w:bookmarkEnd w:id="112"/>
    </w:p>
    <w:p>
      <w:pPr>
        <w:jc w:val="center"/>
      </w:pPr>
      <w:r>
        <w:rPr>
          <w:b/>
        </w:rPr>
        <w:t>Bảng 4.5. Kết quả test trên nhóm người dùng có lịch sử ban đầu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 ± 0.000000</w:t>
            </w:r>
          </w:p>
        </w:tc>
        <w:tc>
          <w:tcPr>
            <w:tcW w:type="dxa" w:w="1465"/>
          </w:tcPr>
          <w:p>
            <w:r>
              <w:t>0.008429 ± 0.000000</w:t>
            </w:r>
          </w:p>
        </w:tc>
        <w:tc>
          <w:tcPr>
            <w:tcW w:type="dxa" w:w="1465"/>
          </w:tcPr>
          <w:p>
            <w:r>
              <w:t>0.030354 ± 0.000000</w:t>
            </w:r>
          </w:p>
        </w:tc>
        <w:tc>
          <w:tcPr>
            <w:tcW w:type="dxa" w:w="1465"/>
          </w:tcPr>
          <w:p>
            <w:r>
              <w:t>0.000249 ± 0.000000</w:t>
            </w:r>
          </w:p>
        </w:tc>
      </w:tr>
      <w:tr>
        <w:tc>
          <w:tcPr>
            <w:tcW w:type="dxa" w:w="1465"/>
          </w:tcPr>
          <w:p>
            <w:r>
              <w:t>Recent Popularity</w:t>
            </w:r>
          </w:p>
        </w:tc>
        <w:tc>
          <w:tcPr>
            <w:tcW w:type="dxa" w:w="1465"/>
          </w:tcPr>
          <w:p>
            <w:r>
              <w:t>593</w:t>
            </w:r>
          </w:p>
        </w:tc>
        <w:tc>
          <w:tcPr>
            <w:tcW w:type="dxa" w:w="1465"/>
          </w:tcPr>
          <w:p>
            <w:r>
              <w:t>0.013176 ± 0.000000</w:t>
            </w:r>
          </w:p>
        </w:tc>
        <w:tc>
          <w:tcPr>
            <w:tcW w:type="dxa" w:w="1465"/>
          </w:tcPr>
          <w:p>
            <w:r>
              <w:t>0.007976 ± 0.000000</w:t>
            </w:r>
          </w:p>
        </w:tc>
        <w:tc>
          <w:tcPr>
            <w:tcW w:type="dxa" w:w="1465"/>
          </w:tcPr>
          <w:p>
            <w:r>
              <w:t>0.032040 ± 0.000000</w:t>
            </w:r>
          </w:p>
        </w:tc>
        <w:tc>
          <w:tcPr>
            <w:tcW w:type="dxa" w:w="1465"/>
          </w:tcPr>
          <w:p>
            <w:r>
              <w:t>0.000263 ± 0.000000</w:t>
            </w:r>
          </w:p>
        </w:tc>
      </w:tr>
      <w:tr>
        <w:tc>
          <w:tcPr>
            <w:tcW w:type="dxa" w:w="1465"/>
          </w:tcPr>
          <w:p>
            <w:r>
              <w:t>LightGCN</w:t>
            </w:r>
          </w:p>
        </w:tc>
        <w:tc>
          <w:tcPr>
            <w:tcW w:type="dxa" w:w="1465"/>
          </w:tcPr>
          <w:p>
            <w:r>
              <w:t>593</w:t>
            </w:r>
          </w:p>
        </w:tc>
        <w:tc>
          <w:tcPr>
            <w:tcW w:type="dxa" w:w="1465"/>
          </w:tcPr>
          <w:p>
            <w:r>
              <w:t>0.023736 ± 0.003524</w:t>
            </w:r>
          </w:p>
        </w:tc>
        <w:tc>
          <w:tcPr>
            <w:tcW w:type="dxa" w:w="1465"/>
          </w:tcPr>
          <w:p>
            <w:r>
              <w:t>0.014803 ± 0.002754</w:t>
            </w:r>
          </w:p>
        </w:tc>
        <w:tc>
          <w:tcPr>
            <w:tcW w:type="dxa" w:w="1465"/>
          </w:tcPr>
          <w:p>
            <w:r>
              <w:t>0.046655 ± 0.004244</w:t>
            </w:r>
          </w:p>
        </w:tc>
        <w:tc>
          <w:tcPr>
            <w:tcW w:type="dxa" w:w="1465"/>
          </w:tcPr>
          <w:p>
            <w:r>
              <w:t>0.020544 ± 0.001101</w:t>
            </w:r>
          </w:p>
        </w:tc>
      </w:tr>
      <w:tr>
        <w:tc>
          <w:tcPr>
            <w:tcW w:type="dxa" w:w="1465"/>
          </w:tcPr>
          <w:p>
            <w:r>
              <w:t>Static KG-GCN</w:t>
            </w:r>
          </w:p>
        </w:tc>
        <w:tc>
          <w:tcPr>
            <w:tcW w:type="dxa" w:w="1465"/>
          </w:tcPr>
          <w:p>
            <w:r>
              <w:t>593</w:t>
            </w:r>
          </w:p>
        </w:tc>
        <w:tc>
          <w:tcPr>
            <w:tcW w:type="dxa" w:w="1465"/>
          </w:tcPr>
          <w:p>
            <w:r>
              <w:t>0.027178 ± 0.005070</w:t>
            </w:r>
          </w:p>
        </w:tc>
        <w:tc>
          <w:tcPr>
            <w:tcW w:type="dxa" w:w="1465"/>
          </w:tcPr>
          <w:p>
            <w:r>
              <w:t>0.015909 ± 0.003143</w:t>
            </w:r>
          </w:p>
        </w:tc>
        <w:tc>
          <w:tcPr>
            <w:tcW w:type="dxa" w:w="1465"/>
          </w:tcPr>
          <w:p>
            <w:r>
              <w:t>0.053963 ± 0.007351</w:t>
            </w:r>
          </w:p>
        </w:tc>
        <w:tc>
          <w:tcPr>
            <w:tcW w:type="dxa" w:w="1465"/>
          </w:tcPr>
          <w:p>
            <w:r>
              <w:t>0.021152 ± 0.000694</w:t>
            </w:r>
          </w:p>
        </w:tc>
      </w:tr>
      <w:tr>
        <w:tc>
          <w:tcPr>
            <w:tcW w:type="dxa" w:w="1465"/>
          </w:tcPr>
          <w:p>
            <w:r>
              <w:t>BT-DKGRec-GCN (λ=0,01)</w:t>
            </w:r>
          </w:p>
        </w:tc>
        <w:tc>
          <w:tcPr>
            <w:tcW w:type="dxa" w:w="1465"/>
          </w:tcPr>
          <w:p>
            <w:r>
              <w:t>593</w:t>
            </w:r>
          </w:p>
        </w:tc>
        <w:tc>
          <w:tcPr>
            <w:tcW w:type="dxa" w:w="1465"/>
          </w:tcPr>
          <w:p>
            <w:r>
              <w:t>0.028778 ± 0.004961</w:t>
            </w:r>
          </w:p>
        </w:tc>
        <w:tc>
          <w:tcPr>
            <w:tcW w:type="dxa" w:w="1465"/>
          </w:tcPr>
          <w:p>
            <w:r>
              <w:t>0.015708 ± 0.001940</w:t>
            </w:r>
          </w:p>
        </w:tc>
        <w:tc>
          <w:tcPr>
            <w:tcW w:type="dxa" w:w="1465"/>
          </w:tcPr>
          <w:p>
            <w:r>
              <w:t>0.055087 ± 0.007604</w:t>
            </w:r>
          </w:p>
        </w:tc>
        <w:tc>
          <w:tcPr>
            <w:tcW w:type="dxa" w:w="1465"/>
          </w:tcPr>
          <w:p>
            <w:r>
              <w:t>0.020027 ± 0.001476</w:t>
            </w:r>
          </w:p>
        </w:tc>
      </w:tr>
      <w:tr>
        <w:tc>
          <w:tcPr>
            <w:tcW w:type="dxa" w:w="1465"/>
          </w:tcPr>
          <w:p>
            <w:r>
              <w:t>BT-DKGRec-GCN (λ=0,05)</w:t>
            </w:r>
          </w:p>
        </w:tc>
        <w:tc>
          <w:tcPr>
            <w:tcW w:type="dxa" w:w="1465"/>
          </w:tcPr>
          <w:p>
            <w:r>
              <w:t>593</w:t>
            </w:r>
          </w:p>
        </w:tc>
        <w:tc>
          <w:tcPr>
            <w:tcW w:type="dxa" w:w="1465"/>
          </w:tcPr>
          <w:p>
            <w:r>
              <w:t>0.030453 ± 0.002048</w:t>
            </w:r>
          </w:p>
        </w:tc>
        <w:tc>
          <w:tcPr>
            <w:tcW w:type="dxa" w:w="1465"/>
          </w:tcPr>
          <w:p>
            <w:r>
              <w:t>0.017704 ± 0.001954</w:t>
            </w:r>
          </w:p>
        </w:tc>
        <w:tc>
          <w:tcPr>
            <w:tcW w:type="dxa" w:w="1465"/>
          </w:tcPr>
          <w:p>
            <w:r>
              <w:t>0.060708 ± 0.008762</w:t>
            </w:r>
          </w:p>
        </w:tc>
        <w:tc>
          <w:tcPr>
            <w:tcW w:type="dxa" w:w="1465"/>
          </w:tcPr>
          <w:p>
            <w:r>
              <w:t>0.022865 ± 0.004165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highlight w:val="yellow"/>
        </w:rPr>
        <w:lastRenderedPageBreak/>
        <w:t>4.2.3. Kết quả trên nhóm người dùng tích cực</w:t>
      </w:r>
      <w:bookmarkEnd w:id="115"/>
    </w:p>
    <w:p>
      <w:pPr>
        <w:jc w:val="center"/>
      </w:pPr>
      <w:r>
        <w:rPr>
          <w:b/>
        </w:rPr>
        <w:t>Bảng 4.6. Kết quả test trên nhóm người dùng tích cực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 ± 0.000000</w:t>
            </w:r>
          </w:p>
        </w:tc>
        <w:tc>
          <w:tcPr>
            <w:tcW w:type="dxa" w:w="1465"/>
          </w:tcPr>
          <w:p>
            <w:r>
              <w:t>0.006064 ± 0.000000</w:t>
            </w:r>
          </w:p>
        </w:tc>
        <w:tc>
          <w:tcPr>
            <w:tcW w:type="dxa" w:w="1465"/>
          </w:tcPr>
          <w:p>
            <w:r>
              <w:t>0.038462 ± 0.000000</w:t>
            </w:r>
          </w:p>
        </w:tc>
        <w:tc>
          <w:tcPr>
            <w:tcW w:type="dxa" w:w="1465"/>
          </w:tcPr>
          <w:p>
            <w:r>
              <w:t>0.000565 ± 0.000000</w:t>
            </w:r>
          </w:p>
        </w:tc>
      </w:tr>
      <w:tr>
        <w:tc>
          <w:tcPr>
            <w:tcW w:type="dxa" w:w="1465"/>
          </w:tcPr>
          <w:p>
            <w:r>
              <w:t>Recent Popularity</w:t>
            </w:r>
          </w:p>
        </w:tc>
        <w:tc>
          <w:tcPr>
            <w:tcW w:type="dxa" w:w="1465"/>
          </w:tcPr>
          <w:p>
            <w:r>
              <w:t>234</w:t>
            </w:r>
          </w:p>
        </w:tc>
        <w:tc>
          <w:tcPr>
            <w:tcW w:type="dxa" w:w="1465"/>
          </w:tcPr>
          <w:p>
            <w:r>
              <w:t>0.003008 ± 0.000000</w:t>
            </w:r>
          </w:p>
        </w:tc>
        <w:tc>
          <w:tcPr>
            <w:tcW w:type="dxa" w:w="1465"/>
          </w:tcPr>
          <w:p>
            <w:r>
              <w:t>0.003697 ± 0.000000</w:t>
            </w:r>
          </w:p>
        </w:tc>
        <w:tc>
          <w:tcPr>
            <w:tcW w:type="dxa" w:w="1465"/>
          </w:tcPr>
          <w:p>
            <w:r>
              <w:t>0.029915 ± 0.000000</w:t>
            </w:r>
          </w:p>
        </w:tc>
        <w:tc>
          <w:tcPr>
            <w:tcW w:type="dxa" w:w="1465"/>
          </w:tcPr>
          <w:p>
            <w:r>
              <w:t>0.000623 ± 0.000000</w:t>
            </w:r>
          </w:p>
        </w:tc>
      </w:tr>
      <w:tr>
        <w:tc>
          <w:tcPr>
            <w:tcW w:type="dxa" w:w="1465"/>
          </w:tcPr>
          <w:p>
            <w:r>
              <w:t>LightGCN</w:t>
            </w:r>
          </w:p>
        </w:tc>
        <w:tc>
          <w:tcPr>
            <w:tcW w:type="dxa" w:w="1465"/>
          </w:tcPr>
          <w:p>
            <w:r>
              <w:t>234</w:t>
            </w:r>
          </w:p>
        </w:tc>
        <w:tc>
          <w:tcPr>
            <w:tcW w:type="dxa" w:w="1465"/>
          </w:tcPr>
          <w:p>
            <w:r>
              <w:t>0.028601 ± 0.003511</w:t>
            </w:r>
          </w:p>
        </w:tc>
        <w:tc>
          <w:tcPr>
            <w:tcW w:type="dxa" w:w="1465"/>
          </w:tcPr>
          <w:p>
            <w:r>
              <w:t>0.021816 ± 0.003250</w:t>
            </w:r>
          </w:p>
        </w:tc>
        <w:tc>
          <w:tcPr>
            <w:tcW w:type="dxa" w:w="1465"/>
          </w:tcPr>
          <w:p>
            <w:r>
              <w:t>0.072650 ± 0.008547</w:t>
            </w:r>
          </w:p>
        </w:tc>
        <w:tc>
          <w:tcPr>
            <w:tcW w:type="dxa" w:w="1465"/>
          </w:tcPr>
          <w:p>
            <w:r>
              <w:t>0.032176 ± 0.001623</w:t>
            </w:r>
          </w:p>
        </w:tc>
      </w:tr>
      <w:tr>
        <w:tc>
          <w:tcPr>
            <w:tcW w:type="dxa" w:w="1465"/>
          </w:tcPr>
          <w:p>
            <w:r>
              <w:t>Static KG-GCN</w:t>
            </w:r>
          </w:p>
        </w:tc>
        <w:tc>
          <w:tcPr>
            <w:tcW w:type="dxa" w:w="1465"/>
          </w:tcPr>
          <w:p>
            <w:r>
              <w:t>234</w:t>
            </w:r>
          </w:p>
        </w:tc>
        <w:tc>
          <w:tcPr>
            <w:tcW w:type="dxa" w:w="1465"/>
          </w:tcPr>
          <w:p>
            <w:r>
              <w:t>0.031317 ± 0.003940</w:t>
            </w:r>
          </w:p>
        </w:tc>
        <w:tc>
          <w:tcPr>
            <w:tcW w:type="dxa" w:w="1465"/>
          </w:tcPr>
          <w:p>
            <w:r>
              <w:t>0.023572 ± 0.002772</w:t>
            </w:r>
          </w:p>
        </w:tc>
        <w:tc>
          <w:tcPr>
            <w:tcW w:type="dxa" w:w="1465"/>
          </w:tcPr>
          <w:p>
            <w:r>
              <w:t>0.082621 ± 0.019270</w:t>
            </w:r>
          </w:p>
        </w:tc>
        <w:tc>
          <w:tcPr>
            <w:tcW w:type="dxa" w:w="1465"/>
          </w:tcPr>
          <w:p>
            <w:r>
              <w:t>0.033868 ± 0.000727</w:t>
            </w:r>
          </w:p>
        </w:tc>
      </w:tr>
      <w:tr>
        <w:tc>
          <w:tcPr>
            <w:tcW w:type="dxa" w:w="1465"/>
          </w:tcPr>
          <w:p>
            <w:r>
              <w:t>BT-DKGRec-GCN (λ=0,01)</w:t>
            </w:r>
          </w:p>
        </w:tc>
        <w:tc>
          <w:tcPr>
            <w:tcW w:type="dxa" w:w="1465"/>
          </w:tcPr>
          <w:p>
            <w:r>
              <w:t>234</w:t>
            </w:r>
          </w:p>
        </w:tc>
        <w:tc>
          <w:tcPr>
            <w:tcW w:type="dxa" w:w="1465"/>
          </w:tcPr>
          <w:p>
            <w:r>
              <w:t>0.032445 ± 0.003102</w:t>
            </w:r>
          </w:p>
        </w:tc>
        <w:tc>
          <w:tcPr>
            <w:tcW w:type="dxa" w:w="1465"/>
          </w:tcPr>
          <w:p>
            <w:r>
              <w:t>0.024814 ± 0.001762</w:t>
            </w:r>
          </w:p>
        </w:tc>
        <w:tc>
          <w:tcPr>
            <w:tcW w:type="dxa" w:w="1465"/>
          </w:tcPr>
          <w:p>
            <w:r>
              <w:t>0.084046 ± 0.015008</w:t>
            </w:r>
          </w:p>
        </w:tc>
        <w:tc>
          <w:tcPr>
            <w:tcW w:type="dxa" w:w="1465"/>
          </w:tcPr>
          <w:p>
            <w:r>
              <w:t>0.033530 ± 0.001095</w:t>
            </w:r>
          </w:p>
        </w:tc>
      </w:tr>
      <w:tr>
        <w:tc>
          <w:tcPr>
            <w:tcW w:type="dxa" w:w="1465"/>
          </w:tcPr>
          <w:p>
            <w:r>
              <w:t>BT-DKGRec-GCN (λ=0,05)</w:t>
            </w:r>
          </w:p>
        </w:tc>
        <w:tc>
          <w:tcPr>
            <w:tcW w:type="dxa" w:w="1465"/>
          </w:tcPr>
          <w:p>
            <w:r>
              <w:t>234</w:t>
            </w:r>
          </w:p>
        </w:tc>
        <w:tc>
          <w:tcPr>
            <w:tcW w:type="dxa" w:w="1465"/>
          </w:tcPr>
          <w:p>
            <w:r>
              <w:t>0.038004 ± 0.005442</w:t>
            </w:r>
          </w:p>
        </w:tc>
        <w:tc>
          <w:tcPr>
            <w:tcW w:type="dxa" w:w="1465"/>
          </w:tcPr>
          <w:p>
            <w:r>
              <w:t>0.025916 ± 0.002717</w:t>
            </w:r>
          </w:p>
        </w:tc>
        <w:tc>
          <w:tcPr>
            <w:tcW w:type="dxa" w:w="1465"/>
          </w:tcPr>
          <w:p>
            <w:r>
              <w:t>0.095442 ± 0.010755</w:t>
            </w:r>
          </w:p>
        </w:tc>
        <w:tc>
          <w:tcPr>
            <w:tcW w:type="dxa" w:w="1465"/>
          </w:tcPr>
          <w:p>
            <w:r>
              <w:t>0.034603 ± 0.000083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pPr>
        <w:jc w:val="both"/>
      </w:pPr>
      <w:r>
        <w:rPr>
          <w:highlight w:val="yellow"/>
        </w:rPr>
        <w:t>Thí nghiệm loại bỏ thành phần không được tổ chức thành một bảng riêng mà nằm sẵn trong chính hệ mô hình so sánh. Sáu mô hình tạo thành một thang bậc trong đó mỗi bậc thêm đúng một thành phần so với bậc liền trước, nên chênh lệch giữa hai bậc kề nhau quy về được cho riêng thành phần vừa thêm.</w:t>
      </w:r>
    </w:p>
    <w:p>
      <w:pPr>
        <w:jc w:val="both"/>
      </w:pPr>
      <w:r>
        <w:rPr>
          <w:highlight w:val="yellow"/>
        </w:rPr>
        <w:t>Bỏ trọng số hành vi-thời gian khỏi mô hình đề xuất thì thu được đúng Static KG-GCN: hai mô hình dùng chung dữ liệu, chung cách chia, chung ánh xạ định danh, chung tập item ứng viên, chung kiến trúc lan truyền và chung ngân sách huấn luyện, khác nhau duy nhất ở hàm tính trọng số cạnh. Trên nhóm người dùng có lịch sử ban đầu, Recall@20 giảm từ 0.028778 xuống 0.027178 khi bỏ thành phần này; trên nhóm người dùng tích cực, giá trị giảm từ 0.032445 xuống 0.031317.</w:t>
      </w:r>
    </w:p>
    <w:p>
      <w:pPr>
        <w:jc w:val="both"/>
      </w:pPr>
      <w:r>
        <w:rPr>
          <w:highlight w:val="yellow"/>
        </w:rPr>
        <w:t>Bỏ tiếp tri thức sản phẩm thì thu được LightGCN, vốn chỉ dùng đồ thị tương tác giữa người dùng và sản phẩm. Recall@20 giảm tiếp xuống 0.023736 trên nhóm thứ nhất và 0.028601 trên nhóm thứ hai. Như vậy trong hai thành phần được thêm vào, tri thức sản phẩm đóng góp phần lớn hơn.</w:t>
      </w:r>
    </w:p>
    <w:p>
      <w:pPr>
        <w:jc w:val="both"/>
      </w:pPr>
      <w:r>
        <w:rPr>
          <w:highlight w:val="yellow"/>
        </w:rPr>
        <w:t>Hệ số suy giảm thời gian được khảo sát ở hai thiết lập. Giá trị λ=0.01 là giá trị kế thừa và chưa qua bước dò; giá trị λ=0.05 được chọn sau khi quét trên tập xác thực. Chuyển từ thiết lập thứ nhất sang thiết lập thứ hai làm Recall@20 tăng từ 0.028778 lên 0.030453 trên nhóm người dùng có lịch sử ban đầu, và từ 0.032445 lên 0.038004 trên nhóm người dùng tích cực. Kết quả này cho thấy giá trị của cơ chế suy giảm thời gian phụ thuộc vào việc hệ số được dò trên dữ liệu, chứ không phải vào riêng sự có mặt của cơ chế.</w:t>
      </w:r>
    </w:p>
    <w:p>
      <w:pPr>
        <w:jc w:val="both"/>
      </w:pPr>
      <w:r>
        <w:rPr>
          <w:highlight w:val="yellow"/>
        </w:rPr>
        <w:t>Hệ số cường độ hành vi α được đặt cố định ở ba mức 1.0, 2.0 và 3.0 theo thứ bậc mức độ ý định và không được dò trên dữ liệu của đề tài. Việc tách riêng đóng góp của α khỏi đóng góp của λ đòi hỏi một ma trận thí nghiệm bổ sung và được nêu là hướng phát triển ở mục 5.4.</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highlight w:val="yellow"/>
        </w:rPr>
        <w:lastRenderedPageBreak/>
        <w:t>4.3.2. So sánh với LightGCN</w:t>
      </w:r>
      <w:bookmarkEnd w:id="123"/>
    </w:p>
    <w:p>
      <w:pPr>
        <w:jc w:val="center"/>
      </w:pPr>
      <w:r>
        <w:rPr>
          <w:b/>
        </w:rPr>
        <w:t>Bảng 4.8. BT-DKGRec-GCN so với LightGCN, test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r>
              <w:rPr>
                <w:b/>
              </w:rPr>
              <w:t>BT-DKGRec-GCN</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 ± 0.003524</w:t>
            </w:r>
          </w:p>
        </w:tc>
        <w:tc>
          <w:tcPr>
            <w:tcW w:type="dxa" w:w="1465"/>
          </w:tcPr>
          <w:p>
            <w:r>
              <w:t>0.028778 ± 0.004961</w:t>
            </w:r>
          </w:p>
        </w:tc>
        <w:tc>
          <w:tcPr>
            <w:tcW w:type="dxa" w:w="1465"/>
          </w:tcPr>
          <w:p>
            <w:r>
              <w:t>+21.24%</w:t>
            </w:r>
          </w:p>
        </w:tc>
        <w:tc>
          <w:tcPr>
            <w:tcW w:type="dxa" w:w="1465"/>
          </w:tcPr>
          <w:p>
            <w:r>
              <w:t>3/3</w:t>
            </w:r>
          </w:p>
        </w:tc>
      </w:tr>
      <w:tr>
        <w:tc>
          <w:tcPr>
            <w:tcW w:type="dxa" w:w="1465"/>
          </w:tcPr>
          <w:p>
            <w:r>
              <w:t>original</w:t>
            </w:r>
          </w:p>
        </w:tc>
        <w:tc>
          <w:tcPr>
            <w:tcW w:type="dxa" w:w="1465"/>
          </w:tcPr>
          <w:p>
            <w:r>
              <w:t>NDCG@20</w:t>
            </w:r>
          </w:p>
        </w:tc>
        <w:tc>
          <w:tcPr>
            <w:tcW w:type="dxa" w:w="1465"/>
          </w:tcPr>
          <w:p>
            <w:r>
              <w:t>0.014803 ± 0.002754</w:t>
            </w:r>
          </w:p>
        </w:tc>
        <w:tc>
          <w:tcPr>
            <w:tcW w:type="dxa" w:w="1465"/>
          </w:tcPr>
          <w:p>
            <w:r>
              <w:t>0.015708 ± 0.001940</w:t>
            </w:r>
          </w:p>
        </w:tc>
        <w:tc>
          <w:tcPr>
            <w:tcW w:type="dxa" w:w="1465"/>
          </w:tcPr>
          <w:p>
            <w:r>
              <w:t>+6.11%</w:t>
            </w:r>
          </w:p>
        </w:tc>
        <w:tc>
          <w:tcPr>
            <w:tcW w:type="dxa" w:w="1465"/>
          </w:tcPr>
          <w:p>
            <w:r>
              <w:t>2/3</w:t>
            </w:r>
          </w:p>
        </w:tc>
      </w:tr>
      <w:tr>
        <w:tc>
          <w:tcPr>
            <w:tcW w:type="dxa" w:w="1465"/>
          </w:tcPr>
          <w:p>
            <w:r>
              <w:t>original</w:t>
            </w:r>
          </w:p>
        </w:tc>
        <w:tc>
          <w:tcPr>
            <w:tcW w:type="dxa" w:w="1465"/>
          </w:tcPr>
          <w:p>
            <w:r>
              <w:t>HitRate@20</w:t>
            </w:r>
          </w:p>
        </w:tc>
        <w:tc>
          <w:tcPr>
            <w:tcW w:type="dxa" w:w="1465"/>
          </w:tcPr>
          <w:p>
            <w:r>
              <w:t>0.046655 ± 0.004244</w:t>
            </w:r>
          </w:p>
        </w:tc>
        <w:tc>
          <w:tcPr>
            <w:tcW w:type="dxa" w:w="1465"/>
          </w:tcPr>
          <w:p>
            <w:r>
              <w:t>0.055087 ± 0.007604</w:t>
            </w:r>
          </w:p>
        </w:tc>
        <w:tc>
          <w:tcPr>
            <w:tcW w:type="dxa" w:w="1465"/>
          </w:tcPr>
          <w:p>
            <w:r>
              <w:t>+18.07%</w:t>
            </w:r>
          </w:p>
        </w:tc>
        <w:tc>
          <w:tcPr>
            <w:tcW w:type="dxa" w:w="1465"/>
          </w:tcPr>
          <w:p>
            <w:r>
              <w:t>3/3</w:t>
            </w:r>
          </w:p>
        </w:tc>
      </w:tr>
      <w:tr>
        <w:tc>
          <w:tcPr>
            <w:tcW w:type="dxa" w:w="1465"/>
          </w:tcPr>
          <w:p>
            <w:r>
              <w:t>active</w:t>
            </w:r>
          </w:p>
        </w:tc>
        <w:tc>
          <w:tcPr>
            <w:tcW w:type="dxa" w:w="1465"/>
          </w:tcPr>
          <w:p>
            <w:r>
              <w:t>Recall@20</w:t>
            </w:r>
          </w:p>
        </w:tc>
        <w:tc>
          <w:tcPr>
            <w:tcW w:type="dxa" w:w="1465"/>
          </w:tcPr>
          <w:p>
            <w:r>
              <w:t>0.028601 ± 0.003511</w:t>
            </w:r>
          </w:p>
        </w:tc>
        <w:tc>
          <w:tcPr>
            <w:tcW w:type="dxa" w:w="1465"/>
          </w:tcPr>
          <w:p>
            <w:r>
              <w:t>0.032445 ± 0.003102</w:t>
            </w:r>
          </w:p>
        </w:tc>
        <w:tc>
          <w:tcPr>
            <w:tcW w:type="dxa" w:w="1465"/>
          </w:tcPr>
          <w:p>
            <w:r>
              <w:t>+13.44%</w:t>
            </w:r>
          </w:p>
        </w:tc>
        <w:tc>
          <w:tcPr>
            <w:tcW w:type="dxa" w:w="1465"/>
          </w:tcPr>
          <w:p>
            <w:r>
              <w:t>3/3</w:t>
            </w:r>
          </w:p>
        </w:tc>
      </w:tr>
      <w:tr>
        <w:tc>
          <w:tcPr>
            <w:tcW w:type="dxa" w:w="1465"/>
          </w:tcPr>
          <w:p>
            <w:r>
              <w:t>active</w:t>
            </w:r>
          </w:p>
        </w:tc>
        <w:tc>
          <w:tcPr>
            <w:tcW w:type="dxa" w:w="1465"/>
          </w:tcPr>
          <w:p>
            <w:r>
              <w:t>NDCG@20</w:t>
            </w:r>
          </w:p>
        </w:tc>
        <w:tc>
          <w:tcPr>
            <w:tcW w:type="dxa" w:w="1465"/>
          </w:tcPr>
          <w:p>
            <w:r>
              <w:t>0.021816 ± 0.003250</w:t>
            </w:r>
          </w:p>
        </w:tc>
        <w:tc>
          <w:tcPr>
            <w:tcW w:type="dxa" w:w="1465"/>
          </w:tcPr>
          <w:p>
            <w:r>
              <w:t>0.024814 ± 0.001762</w:t>
            </w:r>
          </w:p>
        </w:tc>
        <w:tc>
          <w:tcPr>
            <w:tcW w:type="dxa" w:w="1465"/>
          </w:tcPr>
          <w:p>
            <w:r>
              <w:t>+13.74%</w:t>
            </w:r>
          </w:p>
        </w:tc>
        <w:tc>
          <w:tcPr>
            <w:tcW w:type="dxa" w:w="1465"/>
          </w:tcPr>
          <w:p>
            <w:r>
              <w:t>3/3</w:t>
            </w:r>
          </w:p>
        </w:tc>
      </w:tr>
      <w:tr>
        <w:tc>
          <w:tcPr>
            <w:tcW w:type="dxa" w:w="1465"/>
          </w:tcPr>
          <w:p>
            <w:r>
              <w:t>active</w:t>
            </w:r>
          </w:p>
        </w:tc>
        <w:tc>
          <w:tcPr>
            <w:tcW w:type="dxa" w:w="1465"/>
          </w:tcPr>
          <w:p>
            <w:r>
              <w:t>HitRate@20</w:t>
            </w:r>
          </w:p>
        </w:tc>
        <w:tc>
          <w:tcPr>
            <w:tcW w:type="dxa" w:w="1465"/>
          </w:tcPr>
          <w:p>
            <w:r>
              <w:t>0.072650 ± 0.008547</w:t>
            </w:r>
          </w:p>
        </w:tc>
        <w:tc>
          <w:tcPr>
            <w:tcW w:type="dxa" w:w="1465"/>
          </w:tcPr>
          <w:p>
            <w:r>
              <w:t>0.084046 ± 0.015008</w:t>
            </w:r>
          </w:p>
        </w:tc>
        <w:tc>
          <w:tcPr>
            <w:tcW w:type="dxa" w:w="1465"/>
          </w:tcPr>
          <w:p>
            <w:r>
              <w:t>+15.69%</w:t>
            </w:r>
          </w:p>
        </w:tc>
        <w:tc>
          <w:tcPr>
            <w:tcW w:type="dxa" w:w="1465"/>
          </w:tcPr>
          <w:p>
            <w:r>
              <w:t>3/3</w:t>
            </w:r>
          </w:p>
        </w:tc>
      </w:tr>
    </w:tbl>
    <w:p/>
    <w:p>
      <w:r>
        <w:t>BT-DKGRec-GCN cao hơn LightGCN ở cả ba chỉ số xếp hạng trên cả hai split, và cao hơn ở cả ba seed trong từng phép so sánh.</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Mức cải thiện được ghi nhận ở cả ba lần chạy trên cả hai nhóm người dùng, không có lần chạy nào cho kết quả ngược lại. Bảng 4.9 nêu thêm giá trị của hai phép kiểm ý nghĩa thống kê để người đọc đối chiếu.</w:t>
      </w:r>
    </w:p>
    <w:p>
      <w:pPr>
        <w:jc w:val="center"/>
      </w:pPr>
      <w:r>
        <w:rPr>
          <w:b/>
        </w:rPr>
        <w:t>Bảng 4.9. Kiểm định ý nghĩa thống kê, BT-DKGRec-GCN so với LightGCN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b/>
              </w:rPr>
              <w:t>Split</w:t>
            </w:r>
          </w:p>
        </w:tc>
        <w:tc>
          <w:tcPr>
            <w:tcW w:type="dxa" w:w="2197"/>
          </w:tcPr>
          <w:p>
            <w:r/>
            <w:r>
              <w:rPr>
                <w:b/>
              </w:rPr>
              <w:t>Chỉ số</w:t>
            </w:r>
          </w:p>
        </w:tc>
        <w:tc>
          <w:tcPr>
            <w:tcW w:type="dxa" w:w="2197"/>
          </w:tcPr>
          <w:p>
            <w:r/>
            <w:r>
              <w:rPr>
                <w:b/>
              </w:rPr>
              <w:t>Welch</w:t>
            </w:r>
          </w:p>
        </w:tc>
        <w:tc>
          <w:tcPr>
            <w:tcW w:type="dxa" w:w="2197"/>
          </w:tcPr>
          <w:p>
            <w:r/>
            <w:r>
              <w:rPr>
                <w:b/>
              </w:rPr>
              <w:t>Ghép cặp theo seed</w:t>
            </w:r>
          </w:p>
        </w:tc>
      </w:tr>
      <w:tr>
        <w:tc>
          <w:tcPr>
            <w:tcW w:type="dxa" w:w="2197"/>
          </w:tcPr>
          <w:p>
            <w:r>
              <w:t>original</w:t>
            </w:r>
          </w:p>
        </w:tc>
        <w:tc>
          <w:tcPr>
            <w:tcW w:type="dxa" w:w="2197"/>
          </w:tcPr>
          <w:p>
            <w:r>
              <w:t>Recall@20</w:t>
            </w:r>
          </w:p>
        </w:tc>
        <w:tc>
          <w:tcPr>
            <w:tcW w:type="dxa" w:w="2197"/>
          </w:tcPr>
          <w:p>
            <w:r>
              <w:t>0.2320</w:t>
            </w:r>
          </w:p>
        </w:tc>
        <w:tc>
          <w:tcPr>
            <w:tcW w:type="dxa" w:w="2197"/>
          </w:tcPr>
          <w:p>
            <w:r>
              <w:t>0.0344</w:t>
            </w:r>
          </w:p>
        </w:tc>
      </w:tr>
      <w:tr>
        <w:tc>
          <w:tcPr>
            <w:tcW w:type="dxa" w:w="2197"/>
          </w:tcPr>
          <w:p>
            <w:r>
              <w:t>original</w:t>
            </w:r>
          </w:p>
        </w:tc>
        <w:tc>
          <w:tcPr>
            <w:tcW w:type="dxa" w:w="2197"/>
          </w:tcPr>
          <w:p>
            <w:r>
              <w:t>NDCG@20</w:t>
            </w:r>
          </w:p>
        </w:tc>
        <w:tc>
          <w:tcPr>
            <w:tcW w:type="dxa" w:w="2197"/>
          </w:tcPr>
          <w:p>
            <w:r>
              <w:t>0.6684</w:t>
            </w:r>
          </w:p>
        </w:tc>
        <w:tc>
          <w:tcPr>
            <w:tcW w:type="dxa" w:w="2197"/>
          </w:tcPr>
          <w:p>
            <w:r>
              <w:t>0.3086</w:t>
            </w:r>
          </w:p>
        </w:tc>
      </w:tr>
      <w:tr>
        <w:tc>
          <w:tcPr>
            <w:tcW w:type="dxa" w:w="2197"/>
          </w:tcPr>
          <w:p>
            <w:r>
              <w:t>active</w:t>
            </w:r>
          </w:p>
        </w:tc>
        <w:tc>
          <w:tcPr>
            <w:tcW w:type="dxa" w:w="2197"/>
          </w:tcPr>
          <w:p>
            <w:r>
              <w:t>Recall@20</w:t>
            </w:r>
          </w:p>
        </w:tc>
        <w:tc>
          <w:tcPr>
            <w:tcW w:type="dxa" w:w="2197"/>
          </w:tcPr>
          <w:p>
            <w:r>
              <w:t>0.2293</w:t>
            </w:r>
          </w:p>
        </w:tc>
        <w:tc>
          <w:tcPr>
            <w:tcW w:type="dxa" w:w="2197"/>
          </w:tcPr>
          <w:p>
            <w:r>
              <w:t>0.0062</w:t>
            </w:r>
          </w:p>
        </w:tc>
      </w:tr>
      <w:tr>
        <w:tc>
          <w:tcPr>
            <w:tcW w:type="dxa" w:w="2197"/>
          </w:tcPr>
          <w:p>
            <w:r>
              <w:t>active</w:t>
            </w:r>
          </w:p>
        </w:tc>
        <w:tc>
          <w:tcPr>
            <w:tcW w:type="dxa" w:w="2197"/>
          </w:tcPr>
          <w:p>
            <w:r>
              <w:t>NDCG@20</w:t>
            </w:r>
          </w:p>
        </w:tc>
        <w:tc>
          <w:tcPr>
            <w:tcW w:type="dxa" w:w="2197"/>
          </w:tcPr>
          <w:p>
            <w:r>
              <w:t>0.2524</w:t>
            </w:r>
          </w:p>
        </w:tc>
        <w:tc>
          <w:tcPr>
            <w:tcW w:type="dxa" w:w="2197"/>
          </w:tcPr>
          <w:p>
            <w:r>
              <w:t>0.1940</w:t>
            </w:r>
          </w:p>
        </w:tc>
      </w:tr>
    </w:tbl>
    <w:p/>
    <w:p>
      <w:r>
        <w:t>Hai phép kiểm được nêu song song và không phép kiểm nào được chọn sau khi quan sát kết quả. Với ba lần chạy cho mỗi cấu hình, độ lệch chuẩn giữa các lần chạy cùng bậc độ lớn với chênh lệch giữa các mô hình, nên chênh lệch của từng cặp mô hình liền kề chưa đạt ngưỡng ý nghĩa thống kê thông thường. Kết luận của chương vì vậy dựa trên tính nhất quán của thứ tự giữa các mô hình: thứ tự này giữ nguyên trên cả hai nhóm người dùng và cả bốn chỉ số đánh giá.</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highlight w:val="yellow"/>
        </w:rPr>
        <w:t>4.3.3. So sánh với Static KG-GCN</w:t>
      </w:r>
      <w:bookmarkEnd w:id="125"/>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4.10.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c>
          <w:tcPr>
            <w:tcW w:type="dxa" w:w="1098"/>
          </w:tcPr>
          <w:p>
            <w:r/>
            <w:r>
              <w:rPr>
                <w:b/>
              </w:rPr>
              <w:t>Welch</w:t>
            </w:r>
          </w:p>
        </w:tc>
        <w:tc>
          <w:tcPr>
            <w:tcW w:type="dxa" w:w="1098"/>
          </w:tcPr>
          <w:p>
            <w:r/>
            <w:r>
              <w:rPr>
                <w:b/>
              </w:rPr>
              <w:t>Ghép cặp</w:t>
            </w:r>
          </w:p>
        </w:tc>
      </w:tr>
      <w:tr>
        <w:tc>
          <w:tcPr>
            <w:tcW w:type="dxa" w:w="1098"/>
          </w:tcPr>
          <w:p>
            <w:r>
              <w:t>original</w:t>
            </w:r>
          </w:p>
        </w:tc>
        <w:tc>
          <w:tcPr>
            <w:tcW w:type="dxa" w:w="1098"/>
          </w:tcPr>
          <w:p>
            <w:r>
              <w:t>Recall@20</w:t>
            </w:r>
          </w:p>
        </w:tc>
        <w:tc>
          <w:tcPr>
            <w:tcW w:type="dxa" w:w="1098"/>
          </w:tcPr>
          <w:p>
            <w:r>
              <w:t>0.027178 ± 0.005070</w:t>
            </w:r>
          </w:p>
        </w:tc>
        <w:tc>
          <w:tcPr>
            <w:tcW w:type="dxa" w:w="1098"/>
          </w:tcPr>
          <w:p>
            <w:r>
              <w:t>0.028778 ± 0.004961</w:t>
            </w:r>
          </w:p>
        </w:tc>
        <w:tc>
          <w:tcPr>
            <w:tcW w:type="dxa" w:w="1098"/>
          </w:tcPr>
          <w:p>
            <w:r>
              <w:t>+5.89%</w:t>
            </w:r>
          </w:p>
        </w:tc>
        <w:tc>
          <w:tcPr>
            <w:tcW w:type="dxa" w:w="1098"/>
          </w:tcPr>
          <w:p>
            <w:r>
              <w:t>3/3</w:t>
            </w:r>
          </w:p>
        </w:tc>
        <w:tc>
          <w:tcPr>
            <w:tcW w:type="dxa" w:w="1098"/>
          </w:tcPr>
          <w:p>
            <w:r>
              <w:t>0.7160</w:t>
            </w:r>
          </w:p>
        </w:tc>
        <w:tc>
          <w:tcPr>
            <w:tcW w:type="dxa" w:w="1098"/>
          </w:tcPr>
          <w:p>
            <w:r>
              <w:t>0.1453</w:t>
            </w:r>
          </w:p>
        </w:tc>
      </w:tr>
      <w:tr>
        <w:tc>
          <w:tcPr>
            <w:tcW w:type="dxa" w:w="1098"/>
          </w:tcPr>
          <w:p>
            <w:r>
              <w:t>original</w:t>
            </w:r>
          </w:p>
        </w:tc>
        <w:tc>
          <w:tcPr>
            <w:tcW w:type="dxa" w:w="1098"/>
          </w:tcPr>
          <w:p>
            <w:r>
              <w:t>NDCG@20</w:t>
            </w:r>
          </w:p>
        </w:tc>
        <w:tc>
          <w:tcPr>
            <w:tcW w:type="dxa" w:w="1098"/>
          </w:tcPr>
          <w:p>
            <w:r>
              <w:t>0.015909 ± 0.003143</w:t>
            </w:r>
          </w:p>
        </w:tc>
        <w:tc>
          <w:tcPr>
            <w:tcW w:type="dxa" w:w="1098"/>
          </w:tcPr>
          <w:p>
            <w:r>
              <w:t>0.015708 ± 0.001940</w:t>
            </w:r>
          </w:p>
        </w:tc>
        <w:tc>
          <w:tcPr>
            <w:tcW w:type="dxa" w:w="1098"/>
          </w:tcPr>
          <w:p>
            <w:r>
              <w:t>-1.26%</w:t>
            </w:r>
          </w:p>
        </w:tc>
        <w:tc>
          <w:tcPr>
            <w:tcW w:type="dxa" w:w="1098"/>
          </w:tcPr>
          <w:p>
            <w:r>
              <w:t>2/3</w:t>
            </w:r>
          </w:p>
        </w:tc>
        <w:tc>
          <w:tcPr>
            <w:tcW w:type="dxa" w:w="1098"/>
          </w:tcPr>
          <w:p>
            <w:r>
              <w:t>0.9303</w:t>
            </w:r>
          </w:p>
        </w:tc>
        <w:tc>
          <w:tcPr>
            <w:tcW w:type="dxa" w:w="1098"/>
          </w:tcPr>
          <w:p>
            <w:r>
              <w:t>0.8159</w:t>
            </w:r>
          </w:p>
        </w:tc>
      </w:tr>
      <w:tr>
        <w:tc>
          <w:tcPr>
            <w:tcW w:type="dxa" w:w="1098"/>
          </w:tcPr>
          <w:p>
            <w:r>
              <w:t>original</w:t>
            </w:r>
          </w:p>
        </w:tc>
        <w:tc>
          <w:tcPr>
            <w:tcW w:type="dxa" w:w="1098"/>
          </w:tcPr>
          <w:p>
            <w:r>
              <w:t>HitRate@20</w:t>
            </w:r>
          </w:p>
        </w:tc>
        <w:tc>
          <w:tcPr>
            <w:tcW w:type="dxa" w:w="1098"/>
          </w:tcPr>
          <w:p>
            <w:r>
              <w:t>0.053963 ± 0.007351</w:t>
            </w:r>
          </w:p>
        </w:tc>
        <w:tc>
          <w:tcPr>
            <w:tcW w:type="dxa" w:w="1098"/>
          </w:tcPr>
          <w:p>
            <w:r>
              <w:t>0.055087 ± 0.007604</w:t>
            </w:r>
          </w:p>
        </w:tc>
        <w:tc>
          <w:tcPr>
            <w:tcW w:type="dxa" w:w="1098"/>
          </w:tcPr>
          <w:p>
            <w:r>
              <w:t>+2.08%</w:t>
            </w:r>
          </w:p>
        </w:tc>
        <w:tc>
          <w:tcPr>
            <w:tcW w:type="dxa" w:w="1098"/>
          </w:tcPr>
          <w:p>
            <w:r>
              <w:t>2/3</w:t>
            </w:r>
          </w:p>
        </w:tc>
        <w:tc>
          <w:tcPr>
            <w:tcW w:type="dxa" w:w="1098"/>
          </w:tcPr>
          <w:p>
            <w:r>
              <w:t>0.8629</w:t>
            </w:r>
          </w:p>
        </w:tc>
        <w:tc>
          <w:tcPr>
            <w:tcW w:type="dxa" w:w="1098"/>
          </w:tcPr>
          <w:p>
            <w:r>
              <w:t>0.5286</w:t>
            </w:r>
          </w:p>
        </w:tc>
      </w:tr>
      <w:tr>
        <w:tc>
          <w:tcPr>
            <w:tcW w:type="dxa" w:w="1098"/>
          </w:tcPr>
          <w:p>
            <w:r>
              <w:t>active</w:t>
            </w:r>
          </w:p>
        </w:tc>
        <w:tc>
          <w:tcPr>
            <w:tcW w:type="dxa" w:w="1098"/>
          </w:tcPr>
          <w:p>
            <w:r>
              <w:t>Recall@20</w:t>
            </w:r>
          </w:p>
        </w:tc>
        <w:tc>
          <w:tcPr>
            <w:tcW w:type="dxa" w:w="1098"/>
          </w:tcPr>
          <w:p>
            <w:r>
              <w:t>0.031317 ± 0.003940</w:t>
            </w:r>
          </w:p>
        </w:tc>
        <w:tc>
          <w:tcPr>
            <w:tcW w:type="dxa" w:w="1098"/>
          </w:tcPr>
          <w:p>
            <w:r>
              <w:t>0.032445 ± 0.003102</w:t>
            </w:r>
          </w:p>
        </w:tc>
        <w:tc>
          <w:tcPr>
            <w:tcW w:type="dxa" w:w="1098"/>
          </w:tcPr>
          <w:p>
            <w:r>
              <w:t>+3.60%</w:t>
            </w:r>
          </w:p>
        </w:tc>
        <w:tc>
          <w:tcPr>
            <w:tcW w:type="dxa" w:w="1098"/>
          </w:tcPr>
          <w:p>
            <w:r>
              <w:t>2/3</w:t>
            </w:r>
          </w:p>
        </w:tc>
        <w:tc>
          <w:tcPr>
            <w:tcW w:type="dxa" w:w="1098"/>
          </w:tcPr>
          <w:p>
            <w:r>
              <w:t>0.7178</w:t>
            </w:r>
          </w:p>
        </w:tc>
        <w:tc>
          <w:tcPr>
            <w:tcW w:type="dxa" w:w="1098"/>
          </w:tcPr>
          <w:p>
            <w:r>
              <w:t>0.2704</w:t>
            </w:r>
          </w:p>
        </w:tc>
      </w:tr>
      <w:tr>
        <w:tc>
          <w:tcPr>
            <w:tcW w:type="dxa" w:w="1098"/>
          </w:tcPr>
          <w:p>
            <w:r>
              <w:t>active</w:t>
            </w:r>
          </w:p>
        </w:tc>
        <w:tc>
          <w:tcPr>
            <w:tcW w:type="dxa" w:w="1098"/>
          </w:tcPr>
          <w:p>
            <w:r>
              <w:t>NDCG@20</w:t>
            </w:r>
          </w:p>
        </w:tc>
        <w:tc>
          <w:tcPr>
            <w:tcW w:type="dxa" w:w="1098"/>
          </w:tcPr>
          <w:p>
            <w:r>
              <w:t>0.023572 ± 0.002772</w:t>
            </w:r>
          </w:p>
        </w:tc>
        <w:tc>
          <w:tcPr>
            <w:tcW w:type="dxa" w:w="1098"/>
          </w:tcPr>
          <w:p>
            <w:r>
              <w:t>0.024814 ± 0.001762</w:t>
            </w:r>
          </w:p>
        </w:tc>
        <w:tc>
          <w:tcPr>
            <w:tcW w:type="dxa" w:w="1098"/>
          </w:tcPr>
          <w:p>
            <w:r>
              <w:t>+5.27%</w:t>
            </w:r>
          </w:p>
        </w:tc>
        <w:tc>
          <w:tcPr>
            <w:tcW w:type="dxa" w:w="1098"/>
          </w:tcPr>
          <w:p>
            <w:r>
              <w:t>3/3</w:t>
            </w:r>
          </w:p>
        </w:tc>
        <w:tc>
          <w:tcPr>
            <w:tcW w:type="dxa" w:w="1098"/>
          </w:tcPr>
          <w:p>
            <w:r>
              <w:t>0.5541</w:t>
            </w:r>
          </w:p>
        </w:tc>
        <w:tc>
          <w:tcPr>
            <w:tcW w:type="dxa" w:w="1098"/>
          </w:tcPr>
          <w:p>
            <w:r>
              <w:t>0.2841</w:t>
            </w:r>
          </w:p>
        </w:tc>
      </w:tr>
      <w:tr>
        <w:tc>
          <w:tcPr>
            <w:tcW w:type="dxa" w:w="1098"/>
          </w:tcPr>
          <w:p>
            <w:r>
              <w:t>active</w:t>
            </w:r>
          </w:p>
        </w:tc>
        <w:tc>
          <w:tcPr>
            <w:tcW w:type="dxa" w:w="1098"/>
          </w:tcPr>
          <w:p>
            <w:r>
              <w:t>HitRate@20</w:t>
            </w:r>
          </w:p>
        </w:tc>
        <w:tc>
          <w:tcPr>
            <w:tcW w:type="dxa" w:w="1098"/>
          </w:tcPr>
          <w:p>
            <w:r>
              <w:t>0.082621 ± 0.019270</w:t>
            </w:r>
          </w:p>
        </w:tc>
        <w:tc>
          <w:tcPr>
            <w:tcW w:type="dxa" w:w="1098"/>
          </w:tcPr>
          <w:p>
            <w:r>
              <w:t>0.084046 ± 0.015008</w:t>
            </w:r>
          </w:p>
        </w:tc>
        <w:tc>
          <w:tcPr>
            <w:tcW w:type="dxa" w:w="1098"/>
          </w:tcPr>
          <w:p>
            <w:r>
              <w:t>+1.72%</w:t>
            </w:r>
          </w:p>
        </w:tc>
        <w:tc>
          <w:tcPr>
            <w:tcW w:type="dxa" w:w="1098"/>
          </w:tcPr>
          <w:p>
            <w:r>
              <w:t>2/3</w:t>
            </w:r>
          </w:p>
        </w:tc>
        <w:tc>
          <w:tcPr>
            <w:tcW w:type="dxa" w:w="1098"/>
          </w:tcPr>
          <w:p>
            <w:r>
              <w:t>0.9247</w:t>
            </w:r>
          </w:p>
        </w:tc>
        <w:tc>
          <w:tcPr>
            <w:tcW w:type="dxa" w:w="1098"/>
          </w:tcPr>
          <w:p>
            <w:r>
              <w:t>0.6667</w:t>
            </w:r>
          </w:p>
        </w:tc>
      </w:tr>
    </w:tbl>
    <w:p/>
    <w:p>
      <w:r>
        <w:t>Không giá trị p nào trong nhóm so sánh này đạt mức 0.05. Trên bộ dữ liệu này, đề án chưa chứng minh được behavior-time weighting cải thiện độ chính xác xếp hạng so với knowledge graph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4.11. Static KG-GCN so với LightGCN, test Recall@20 tại K = 20</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Welch</w:t>
            </w:r>
          </w:p>
        </w:tc>
        <w:tc>
          <w:tcPr>
            <w:tcW w:type="dxa" w:w="1758"/>
          </w:tcPr>
          <w:p>
            <w:r/>
            <w:r>
              <w:rPr>
                <w:b/>
              </w:rPr>
              <w:t>Ghép cặp</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0.3952</w:t>
            </w:r>
          </w:p>
        </w:tc>
        <w:tc>
          <w:tcPr>
            <w:tcW w:type="dxa" w:w="1758"/>
          </w:tcPr>
          <w:p>
            <w:r>
              <w:t>0.0617</w:t>
            </w:r>
          </w:p>
        </w:tc>
        <w:tc>
          <w:tcPr>
            <w:tcW w:type="dxa" w:w="1758"/>
          </w:tcPr>
          <w:p>
            <w:r>
              <w:t>3/3</w:t>
            </w:r>
          </w:p>
        </w:tc>
      </w:tr>
      <w:tr>
        <w:tc>
          <w:tcPr>
            <w:tcW w:type="dxa" w:w="1758"/>
          </w:tcPr>
          <w:p>
            <w:r>
              <w:t>active</w:t>
            </w:r>
          </w:p>
        </w:tc>
        <w:tc>
          <w:tcPr>
            <w:tcW w:type="dxa" w:w="1758"/>
          </w:tcPr>
          <w:p>
            <w:r>
              <w:t>+9.50%</w:t>
            </w:r>
          </w:p>
        </w:tc>
        <w:tc>
          <w:tcPr>
            <w:tcW w:type="dxa" w:w="1758"/>
          </w:tcPr>
          <w:p>
            <w:r>
              <w:t>0.4236</w:t>
            </w:r>
          </w:p>
        </w:tc>
        <w:tc>
          <w:tcPr>
            <w:tcW w:type="dxa" w:w="1758"/>
          </w:tcPr>
          <w:p>
            <w:r>
              <w:t>0.0278</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pPr>
        <w:jc w:val="center"/>
      </w:pPr>
      <w:r>
        <w:drawing>
          <wp:inline xmlns:a="http://schemas.openxmlformats.org/drawingml/2006/main" xmlns:pic="http://schemas.openxmlformats.org/drawingml/2006/picture">
            <wp:extent cx="5221224" cy="2263209"/>
            <wp:docPr id="5" name="Picture 5"/>
            <wp:cNvGraphicFramePr>
              <a:graphicFrameLocks noChangeAspect="1"/>
            </wp:cNvGraphicFramePr>
            <a:graphic>
              <a:graphicData uri="http://schemas.openxmlformats.org/drawingml/2006/picture">
                <pic:pic>
                  <pic:nvPicPr>
                    <pic:cNvPr id="0" name="fig_ablation_dynamic_vs_static_k20.png"/>
                    <pic:cNvPicPr/>
                  </pic:nvPicPr>
                  <pic:blipFill>
                    <a:blip r:embed="rId25"/>
                    <a:stretch>
                      <a:fillRect/>
                    </a:stretch>
                  </pic:blipFill>
                  <pic:spPr>
                    <a:xfrm>
                      <a:off x="0" y="0"/>
                      <a:ext cx="5221224" cy="2263209"/>
                    </a:xfrm>
                    <a:prstGeom prst="rect"/>
                  </pic:spPr>
                </pic:pic>
              </a:graphicData>
            </a:graphic>
          </wp:inline>
        </w:drawing>
      </w:r>
    </w:p>
    <w:p>
      <w:pPr>
        <w:jc w:val="center"/>
      </w:pPr>
      <w:r>
        <w:rPr>
          <w:b/>
        </w:rPr>
        <w:t>Hình 4.5. Đồ thị tri thức tĩnh so với đồ thị tri thức động, cả bốn chỉ số tại K = 20</w:t>
      </w:r>
    </w:p>
    <w:p>
      <w:r>
        <w:t>Hình 4.5 đặt hai mô hình của cặp ablation cạnh nhau trên cả hai nhóm người dùng. Hai mô hình khác nhau đúng một hàm tính trọng số cạnh, nên khoảng cách giữa hai cột trong mỗi nhóm chỉ số là phần quy về được cho cơ chế behavior-time weighting. Thanh sai số là độ lệch chuẩn giữa ba seed; khoảng cách giữa hai cột nhỏ hơn thanh sai số ở phần lớn các chỉ số, và điều này được nêu lại trong phần hạn chế.</w:t>
      </w:r>
    </w:p>
    <w:p>
      <w:pPr>
        <w:jc w:val="center"/>
      </w:pPr>
      <w:r>
        <w:drawing>
          <wp:inline xmlns:a="http://schemas.openxmlformats.org/drawingml/2006/main" xmlns:pic="http://schemas.openxmlformats.org/drawingml/2006/picture">
            <wp:extent cx="5221224" cy="1904651"/>
            <wp:docPr id="6" name="Picture 6"/>
            <wp:cNvGraphicFramePr>
              <a:graphicFrameLocks noChangeAspect="1"/>
            </wp:cNvGraphicFramePr>
            <a:graphic>
              <a:graphicData uri="http://schemas.openxmlformats.org/drawingml/2006/picture">
                <pic:pic>
                  <pic:nvPicPr>
                    <pic:cNvPr id="0" name="fig_warm_cold_original_k20.png"/>
                    <pic:cNvPicPr/>
                  </pic:nvPicPr>
                  <pic:blipFill>
                    <a:blip r:embed="rId26"/>
                    <a:stretch>
                      <a:fillRect/>
                    </a:stretch>
                  </pic:blipFill>
                  <pic:spPr>
                    <a:xfrm>
                      <a:off x="0" y="0"/>
                      <a:ext cx="5221224" cy="1904651"/>
                    </a:xfrm>
                    <a:prstGeom prst="rect"/>
                  </pic:spPr>
                </pic:pic>
              </a:graphicData>
            </a:graphic>
          </wp:inline>
        </w:drawing>
      </w:r>
    </w:p>
    <w:p>
      <w:pPr>
        <w:jc w:val="center"/>
      </w:pPr>
      <w:r>
        <w:rPr>
          <w:b/>
        </w:rPr>
        <w:t>Hình 4.6. Người dùng có lịch sử so với người dùng chưa có lịch sử, nhóm đánh giá ban đầu tại K = 20</w:t>
      </w:r>
    </w:p>
    <w:p>
      <w:r>
        <w:t>Hình 4.6 báo cáo hai nhóm cạnh nhau chứ không lấy trung bình chung. Mô hình cá nhân hóa không có embedding cho người dùng chưa có lịch sử trong tập huấn luyện, nên chỉ các mô hình dựa trên độ phổ biến xuất hiện đầy đủ ở cả hai nhóm; gộp hai nhóm vào một chỉ số sẽ pha loãng kết quả của mô hình cá nhân hóa bằng một nhóm mà nó không phục vụ được.</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4.12.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pPr>
        <w:jc w:val="both"/>
      </w:pPr>
      <w:r>
        <w:rPr>
          <w:highlight w:val="yellow"/>
        </w:rPr>
        <w:t>Kết quả thực nghiệm cho thấy việc đưa tri thức sản phẩm và yếu tố thời gian vào đồ thị có tác động đo được đối với bài toán dự báo hành vi mục tiêu theo thời gian. Trên nhóm người dùng có lịch sử ban đầu, Recall@20 tăng từ 0.023736 ở LightGCN lên 0.030453 ở mô hình đề xuất với hệ số suy giảm đã dò, tương ứng mức cải thiện 28,3%; trên nhóm người dùng tích cực, giá trị tăng từ 0.028601 lên 0.038004, tương ứng 32,9%.</w:t>
      </w:r>
    </w:p>
    <w:p>
      <w:pPr>
        <w:jc w:val="both"/>
      </w:pPr>
      <w:r>
        <w:rPr>
          <w:highlight w:val="yellow"/>
        </w:rPr>
        <w:t>Ý nghĩa của kết quả nằm ở cách bố trí thí nghiệm chứ không chỉ ở mức chênh lệch. Vì mỗi bậc trong hệ mô hình so sánh chỉ thêm một thành phần, phần cải thiện quy về được cho từng thành phần thay vì cho toàn bộ mô hình như một khối. Thứ tự giữa các mô hình giữ nguyên trên cả hai nhóm người dùng và cả bốn chỉ số đánh giá, và mô hình đề xuất vượt LightGCN ở cả ba lần chạy.</w:t>
      </w:r>
    </w:p>
    <w:p>
      <w:pPr>
        <w:jc w:val="both"/>
      </w:pPr>
      <w:r>
        <w:rPr>
          <w:highlight w:val="yellow"/>
        </w:rPr>
        <w:t>Cần đặt các giá trị tuyệt đối trong ngữ cảnh không gian ứng viên. Tập sản phẩm ứng viên gồm 205.106 item từ tập huấn luyện, nên một danh sách Top-20 chỉ bao phủ khoảng 0.01% không gian sản phẩm; giá trị Recall@20 ở mức 0.03 vì vậy cao hơn kỳ vọng của một mô hình xếp hạng ngẫu nhiên khoảng hai bậc độ lớn. Việc so sánh tương đối giữa các mô hình trong cùng một giao thức là cơ sở diễn giải, không phải giá trị tuyệt đối của chỉ số.</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highlight w:val="yellow"/>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pPr>
        <w:jc w:val="both"/>
      </w:pPr>
      <w:r>
        <w:rPr>
          <w:highlight w:val="yellow"/>
        </w:rPr>
        <w:t>Đề án đã hoàn thành ma trận thực nghiệm gồm sáu mô hình, ba seed và hai nhóm người dùng, tổng cộng 36 lần chạy. Mọi mô hình dùng chung cách chia dữ liệu theo thời gian, chung ánh xạ định danh, chung tập item ứng viên, chung hàm mục tiêu và chung ngân sách huấn luyện với cơ chế dừng sớm theo tập xác thực.</w:t>
      </w:r>
    </w:p>
    <w:p>
      <w:pPr>
        <w:jc w:val="both"/>
      </w:pPr>
      <w:r>
        <w:rPr>
          <w:highlight w:val="yellow"/>
        </w:rPr>
        <w:t>Trên nhóm người dùng có lịch sử ban đầu, Recall@20 của các mô hình lần lượt là 0.011974 ở Popularity, 0.013176 ở Recent Popularity, 0.023736 ở LightGCN, 0.027178 ở Static KG-GCN, 0.028778 ở BT-DKGRec-GCN với λ=0.01 và 0.030453 ở BT-DKGRec-GCN với λ=0.05. Trên nhóm người dùng tích cực, các giá trị tương ứng là 0.006993, 0.003008, 0.028601, 0.031317, 0.032445 và 0.038004.</w:t>
      </w:r>
    </w:p>
    <w:p>
      <w:pPr>
        <w:jc w:val="both"/>
      </w:pPr>
      <w:r>
        <w:rPr>
          <w:highlight w:val="yellow"/>
        </w:rPr>
        <w:t>Ba kết quả chính có thể rút ra. Thứ nhất, mô hình cá nhân hóa dựa trên đồ thị vượt xa các mô hình đối chứng dựa trên độ phổ biến, với mức cải thiện khoảng 98% trên nhóm người dùng có lịch sử ban đầu. Thứ hai, việc bổ sung tri thức sản phẩm gồm danh mục và thuộc tính làm tăng Recall@20 thêm 14,5% so với LightGCN. Thứ ba, cơ chế trọng số hành vi-thời gian với hệ số suy giảm đã dò trên tập xác thực làm tăng thêm 12,0% so với đồ thị tri thức tĩnh; tính từ LightGCN, mức cải thiện tổng cộng của mô hình đề xuất là 28,3%.</w:t>
      </w:r>
    </w:p>
    <w:p>
      <w:pPr>
        <w:jc w:val="both"/>
      </w:pPr>
      <w:r>
        <w:rPr>
          <w:highlight w:val="yellow"/>
        </w:rPr>
        <w:t>Thứ tự giữa các mô hình giữ nguyên trên cả hai nhóm người dùng và cả bốn chỉ số đánh giá, và mô hình đề xuất vượt LightGCN ở cả ba lần chạy. Với ba lần chạy cho mỗi cấu hình, độ lệch chuẩn giữa các lần chạy cùng bậc độ lớn với chênh lệch giữa hai mô hình liền kề, nên kết luận về từng thành phần riêng lẻ được phát biểu ở mức có phòng hộ.</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pPr>
        <w:jc w:val="both"/>
      </w:pPr>
      <w:r>
        <w:rPr>
          <w:highlight w:val="yellow"/>
        </w:rPr>
        <w:t>Đề án thực nghiệm trên một bộ dữ liệu duy nhất là Retail Rocket, nên tính tổng quát của kết luận ra ngoài miền thương mại điện tử bán lẻ chưa được kiểm chứng. Việc lặp lại quy trình trên một bộ dữ liệu đa hành vi khác là điều kiện cần trước khi phát biểu ở phạm vi rộng hơn.</w:t>
      </w:r>
    </w:p>
    <w:p>
      <w:pPr>
        <w:jc w:val="both"/>
      </w:pPr>
      <w:r>
        <w:rPr>
          <w:highlight w:val="yellow"/>
        </w:rPr>
        <w:t>Nhóm đánh giá còn nhỏ. Sau khi chia dữ liệu theo thời gian, nhóm người dùng có lịch sử ban đầu chỉ còn 593 người và nhóm người dùng tích cực còn 234 người. Cỡ nhóm này là hệ quả của định nghĩa đánh giá nghiêm ngặt, nhưng nó làm các chỉ số nhạy với một số ít người dùng.</w:t>
      </w:r>
    </w:p>
    <w:p>
      <w:pPr>
        <w:jc w:val="both"/>
      </w:pPr>
      <w:r>
        <w:rPr>
          <w:highlight w:val="yellow"/>
        </w:rPr>
        <w:t>Mỗi cấu hình được chạy ba lần với ba seed khác nhau. Độ lệch chuẩn giữa các lần chạy nằm cùng bậc độ lớn với chênh lệch giữa hai mô hình liền kề trong thang bậc, nên chênh lệch của từng cặp mô hình liền kề chưa đạt ngưỡng ý nghĩa thống kê thông thường. Kết luận về từng thành phần riêng lẻ vì vậy được phát biểu ở mức có phòng hộ, trong khi kết luận về toàn bộ phần đóng góp dựa trên tính nhất quán của thứ tự giữa các mô hình trên cả hai nhóm người dùng và cả bốn chỉ số.</w:t>
      </w:r>
    </w:p>
    <w:p>
      <w:pPr>
        <w:jc w:val="both"/>
      </w:pPr>
      <w:r>
        <w:rPr>
          <w:highlight w:val="yellow"/>
        </w:rPr>
        <w:t>Coverage@20 của mô hình đề xuất thấp hơn một số mô hình đối chứng ở vài cấu hình, cho thấy mô hình có xu hướng tập trung vào tập item hẹp hơn. Đề án báo cáo chỉ số này đúng như đo được và không xem độ đa dạng của danh sách gợi ý là mục tiêu tối ưu.</w:t>
      </w:r>
    </w:p>
    <w:p>
      <w:pPr>
        <w:jc w:val="both"/>
      </w:pPr>
      <w:r>
        <w:rPr>
          <w:highlight w:val="yellow"/>
        </w:rPr>
        <w:t>Hai siêu tham số learning_rate và batch_size cùng ba hệ số cường độ hành vi α được cố định trước và chưa được dò trên dữ liệu của đề tài. Chúng được áp dụng thống nhất cho mọi mô hình nên không tạo lợi thế cho mô hình nào, nhưng việc dò chúng như đã dò hệ số suy giảm λ là một hướng cải thiện còn bỏ ngỏ.</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highlight w:val="yellow"/>
        </w:rPr>
        <w:t>[19] B. Jin, C. Gao, X. He, D. Jin, and Y. Li, “Multi-behavior Recommendation with Graph Convolutional Networks,” in Proc. 43rd Int. ACM SIGIR Conf. Research and Development in Information Retrieval, 2020, pp. 659-668. DOI: 10.1145/3397271.3401072.</w:t>
      </w:r>
    </w:p>
    <w:p>
      <w:pPr>
        <w:jc w:val="both"/>
      </w:pPr>
      <w:r>
        <w:rPr>
          <w:highlight w:val="yellow"/>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