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2024-09-29 16:53:12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3025</w:t>
            </w:r>
          </w:p>
        </w:tc>
        <w:tc>
          <w:tcPr>
            <w:tcW w:type="dxa" w:w="2088"/>
          </w:tcPr>
          <w:p>
            <w:r>
              <w:t>2437.14</w:t>
            </w:r>
          </w:p>
        </w:tc>
        <w:tc>
          <w:tcPr>
            <w:tcW w:type="dxa" w:w="2088"/>
          </w:tcPr>
          <w:p>
            <w:r>
              <w:t>78.19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TCP: Giao thức TCP chiếm tỷ lệ lớn nhất với 37.5% tổng số lượng gói tin, cho thấy rằng có nhiều kết nối ổn định giữa các máy chủ và máy khách trong mạng.</w:t>
      </w:r>
    </w:p>
    <w:p>
      <w:pPr>
        <w:jc w:val="left"/>
      </w:pPr>
      <w:r>
        <w:rPr>
          <w:b w:val="0"/>
        </w:rPr>
        <w:t>• UDP: Giao thức UDP chiếm tỷ lệ khá cao (25%), chủ yếu liên quan đến các dịch vụ như DNS và một số dịch vụ streaming khác.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25% trong tổng số gói tin TCP, cho thấy nhiều kết nối TCP mới được thiết lập trong khoảng thời gian này.</w:t>
      </w:r>
    </w:p>
    <w:p>
      <w:pPr>
        <w:jc w:val="left"/>
      </w:pPr>
      <w:r>
        <w:rPr>
          <w:b w:val="0"/>
        </w:rPr>
        <w:t>• Gói ACK: Chiếm 50%, là dấu hiệu của các kết nối đang hoạt động bình thường, với nhiều gói tin xác nhận (acknowledgement).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