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09:35:42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3015</w:t>
            </w:r>
          </w:p>
        </w:tc>
        <w:tc>
          <w:tcPr>
            <w:tcW w:type="dxa" w:w="2088"/>
          </w:tcPr>
          <w:p>
            <w:r>
              <w:t>2424.52</w:t>
            </w:r>
          </w:p>
        </w:tc>
        <w:tc>
          <w:tcPr>
            <w:tcW w:type="dxa" w:w="2088"/>
          </w:tcPr>
          <w:p>
            <w:r>
              <w:t>77.93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10</w:t>
            </w:r>
          </w:p>
        </w:tc>
        <w:tc>
          <w:tcPr>
            <w:tcW w:type="dxa" w:w="2088"/>
          </w:tcPr>
          <w:p>
            <w:r>
              <w:t>12.62</w:t>
            </w:r>
          </w:p>
        </w:tc>
        <w:tc>
          <w:tcPr>
            <w:tcW w:type="dxa" w:w="2088"/>
          </w:tcPr>
          <w:p>
            <w:r>
              <w:t>0.26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77.93%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0.26%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27</w:t>
            </w:r>
          </w:p>
        </w:tc>
        <w:tc>
          <w:tcPr>
            <w:tcW w:type="dxa" w:w="2088"/>
          </w:tcPr>
          <w:p>
            <w:r>
              <w:t>2.27</w:t>
            </w:r>
          </w:p>
        </w:tc>
        <w:tc>
          <w:tcPr>
            <w:tcW w:type="dxa" w:w="2088"/>
          </w:tcPr>
          <w:p>
            <w:r>
              <w:t>5.65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5.65%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