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2024-10-04 14:39:28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