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distance to stop loss, take profit and liquidation price, accumulated fees and funding, and a link to the journal entry (SCR-21).</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fees and realized profit/loss (BR-36, BR-38)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realized profit/loss,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BR-38 with the fees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realized profit/loss.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or delete an own post at any time; deletion is a soft delete (BR-47) and a Media Deletion Request is sent for its media.</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LOW_RR (WARNING) when risk/reward &lt; 1.5; OVERSIZED_POSITION (WARNING) when risk % is greater than the risk per trade of the Trader's risk profile (BR-66); HIGH_LEVERAGE (WARNING) when leverage is greater than the maximum leverage of the risk profile;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and the loss equals the initial margin.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manual close and liquidation. Fee = fill price × quantity × rate. Default rates: Spot 0.1% maker and taker; Futures 0.02% maker and 0.05% taker (configurable).</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Realized profit/loss: LONG = (exit price − entry price) × quantity − fees + net funding; SHORT = (entry price − exit price) × quantity − fees + net funding.</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realized profit/loss &gt; 0, LOSS if &lt; 0, BREAKEVEN if = 0. Win rate = wins / (wins + losses). Realized R = realized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and score bands are defined in the Technical Design and are configuration values.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use of the maximum total open risk in warnings is to be defined.</w:t>
            </w:r>
          </w:p>
        </w:tc>
        <w:tc>
          <w:tcPr>
            <w:tcW w:type="dxa" w:w="1368"/>
          </w:tcPr>
          <w:p>
            <w:pPr>
              <w:jc w:val="center"/>
            </w:pPr>
            <w:r/>
            <w:r>
              <w:rPr>
                <w:sz w:val="18"/>
              </w:rPr>
              <w:t xml:space="preserve">To confirm</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