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/>
          <w:b/>
          <w:i w:val="0"/>
          <w:color w:val="1F4E79"/>
          <w:sz w:val="42"/>
        </w:rPr>
        <w:t>BÁO CÁO EDA NGẮN</w:t>
      </w:r>
    </w:p>
    <w:p>
      <w:pPr>
        <w:spacing w:after="40"/>
        <w:jc w:val="center"/>
      </w:pPr>
      <w:r>
        <w:rPr>
          <w:rFonts w:ascii="Arial" w:hAnsi="Arial" w:eastAsia="Arial"/>
          <w:b/>
          <w:i w:val="0"/>
          <w:color w:val="252525"/>
          <w:sz w:val="26"/>
        </w:rPr>
        <w:t>UCI Bike Sharing và Power Consumption of Tetouan City</w:t>
      </w:r>
    </w:p>
    <w:p>
      <w:pPr>
        <w:spacing w:after="280"/>
        <w:jc w:val="center"/>
      </w:pPr>
      <w:r>
        <w:rPr>
          <w:rFonts w:ascii="Arial" w:hAnsi="Arial" w:eastAsia="Arial"/>
          <w:b w:val="0"/>
          <w:i w:val="0"/>
          <w:color w:val="667085"/>
          <w:sz w:val="19"/>
        </w:rPr>
        <w:t>Ngày 14/10/2026</w:t>
      </w:r>
    </w:p>
    <w:p>
      <w:pPr>
        <w:pStyle w:val="ReportBody"/>
        <w:keepLines/>
        <w:spacing w:after="240"/>
        <w:ind w:left="173" w:right="173"/>
        <w:shd w:fill="EAF2F8"/>
      </w:pPr>
      <w:r>
        <w:rPr>
          <w:rFonts w:ascii="Arial" w:hAnsi="Arial" w:eastAsia="Arial"/>
          <w:b/>
          <w:i w:val="0"/>
          <w:color w:val="1F4E79"/>
          <w:sz w:val="21"/>
        </w:rPr>
        <w:t xml:space="preserve">Mục tiêu: </w:t>
      </w:r>
      <w:r>
        <w:rPr>
          <w:rFonts w:ascii="Arial" w:hAnsi="Arial" w:eastAsia="Arial"/>
          <w:b w:val="0"/>
          <w:i w:val="0"/>
          <w:color w:val="252525"/>
          <w:sz w:val="21"/>
        </w:rPr>
        <w:t>kiểm tra chất lượng dữ liệu, phân phối target, mùa vụ, tự tương quan và các điểm cần xử lý trước khi huấn luyện mô hình forecasting.</w:t>
      </w:r>
    </w:p>
    <w:p>
      <w:pPr>
        <w:pStyle w:val="Heading1"/>
      </w:pPr>
      <w:r>
        <w:t>1. Tóm tắt dataset</w:t>
      </w:r>
    </w:p>
    <w:p>
      <w:pPr>
        <w:pStyle w:val="ReportBody"/>
        <w:keepLines/>
        <w:spacing w:after="80"/>
      </w:pPr>
      <w:r>
        <w:rPr>
          <w:rFonts w:ascii="Arial" w:hAnsi="Arial" w:eastAsia="Arial"/>
          <w:b/>
          <w:i w:val="0"/>
          <w:color w:val="1F4E79"/>
          <w:sz w:val="21"/>
        </w:rPr>
        <w:t xml:space="preserve">UCI Bike Sharing. </w:t>
      </w:r>
      <w:r>
        <w:rPr>
          <w:rFonts w:ascii="Arial" w:hAnsi="Arial" w:eastAsia="Arial"/>
          <w:b w:val="0"/>
          <w:i w:val="0"/>
          <w:color w:val="252525"/>
          <w:sz w:val="21"/>
        </w:rPr>
        <w:t>Tần suất 1 giờ; 17.379 dòng; target là số lượt thuê xe cnt. Dữ liệu có thời tiết và thông tin lịch.</w:t>
      </w:r>
    </w:p>
    <w:p>
      <w:pPr>
        <w:pStyle w:val="ReportBody"/>
        <w:keepLines/>
        <w:spacing w:after="80"/>
      </w:pPr>
      <w:r>
        <w:rPr>
          <w:rFonts w:ascii="Arial" w:hAnsi="Arial" w:eastAsia="Arial"/>
          <w:b/>
          <w:i w:val="0"/>
          <w:color w:val="1F4E79"/>
          <w:sz w:val="21"/>
        </w:rPr>
        <w:t xml:space="preserve">Tetouan City Power Consumption. </w:t>
      </w:r>
      <w:r>
        <w:rPr>
          <w:rFonts w:ascii="Arial" w:hAnsi="Arial" w:eastAsia="Arial"/>
          <w:b w:val="0"/>
          <w:i w:val="0"/>
          <w:color w:val="252525"/>
          <w:sz w:val="21"/>
        </w:rPr>
        <w:t>Tần suất 10 phút; 52.416 dòng; target là phụ tải Zone 1, Zone 2 và Zone 3. Dữ liệu có thời tiết và các biến bức xạ.</w:t>
      </w:r>
    </w:p>
    <w:p>
      <w:pPr>
        <w:pStyle w:val="ReportBody"/>
        <w:keepLines/>
        <w:spacing w:after="80"/>
      </w:pPr>
      <w:r>
        <w:rPr>
          <w:rFonts w:ascii="Arial" w:hAnsi="Arial" w:eastAsia="Arial"/>
          <w:b/>
          <w:i w:val="0"/>
          <w:color w:val="1F4E79"/>
          <w:sz w:val="21"/>
        </w:rPr>
        <w:t xml:space="preserve">Đánh giá chung. </w:t>
      </w:r>
      <w:r>
        <w:rPr>
          <w:rFonts w:ascii="Arial" w:hAnsi="Arial" w:eastAsia="Arial"/>
          <w:b w:val="0"/>
          <w:i w:val="0"/>
          <w:color w:val="252525"/>
          <w:sz w:val="21"/>
        </w:rPr>
        <w:t>Cả hai có timestamp, biến ngoại sinh và nguồn UCI chính thức. Bike Sharing phù hợp với demand forecasting; Tetouan phù hợp với load forecasting đa biến và multi-output.</w:t>
      </w:r>
    </w:p>
    <w:p>
      <w:pPr>
        <w:pStyle w:val="Heading1"/>
      </w:pPr>
      <w:r>
        <w:t>2. UCI Bike Sharing</w:t>
      </w:r>
    </w:p>
    <w:p>
      <w:pPr>
        <w:pStyle w:val="ReportBody"/>
        <w:keepLines w:val="0"/>
        <w:spacing w:before="0" w:after="100"/>
      </w:pPr>
      <w:r>
        <w:rPr>
          <w:rFonts w:ascii="Arial" w:hAnsi="Arial" w:eastAsia="Arial"/>
          <w:b w:val="0"/>
          <w:i w:val="0"/>
          <w:color w:val="252525"/>
          <w:sz w:val="21"/>
        </w:rPr>
        <w:t>Dữ liệu số lượt thuê xe tại Washington DC trong giai đoạn 2011–2012, kèm thời tiết và thông tin lịch.</w:t>
      </w:r>
    </w:p>
    <w:p>
      <w:pPr>
        <w:pStyle w:val="Heading2"/>
      </w:pPr>
      <w:r>
        <w:t>Kết quả EDA</w:t>
      </w:r>
    </w:p>
    <w:p>
      <w:pPr>
        <w:pStyle w:val="ReportBody"/>
        <w:keepLines/>
        <w:spacing w:after="40"/>
        <w:ind w:left="288" w:hanging="230"/>
      </w:pPr>
      <w:r>
        <w:rPr>
          <w:rFonts w:ascii="Arial" w:hAnsi="Arial" w:eastAsia="Arial"/>
          <w:b w:val="0"/>
          <w:i w:val="0"/>
          <w:color w:val="252525"/>
          <w:sz w:val="21"/>
        </w:rPr>
        <w:t>•  Không có NA trong ô dữ liệu và không có timestamp trùng.</w:t>
      </w:r>
    </w:p>
    <w:p>
      <w:pPr>
        <w:pStyle w:val="ReportBody"/>
        <w:keepLines/>
        <w:spacing w:after="40"/>
        <w:ind w:left="288" w:hanging="230"/>
      </w:pPr>
      <w:r>
        <w:rPr>
          <w:rFonts w:ascii="Arial" w:hAnsi="Arial" w:eastAsia="Arial"/>
          <w:b w:val="0"/>
          <w:i w:val="0"/>
          <w:color w:val="252525"/>
          <w:sz w:val="21"/>
        </w:rPr>
        <w:t>•  Có 165 mốc giờ bị thiếu trên 17.544 mốc kỳ vọng, tương đương 0,94%.</w:t>
      </w:r>
    </w:p>
    <w:p>
      <w:pPr>
        <w:pStyle w:val="ReportBody"/>
        <w:keepLines/>
        <w:spacing w:after="40"/>
        <w:ind w:left="288" w:hanging="230"/>
      </w:pPr>
      <w:r>
        <w:rPr>
          <w:rFonts w:ascii="Arial" w:hAnsi="Arial" w:eastAsia="Arial"/>
          <w:b w:val="0"/>
          <w:i w:val="0"/>
          <w:color w:val="252525"/>
          <w:sz w:val="21"/>
        </w:rPr>
        <w:t>•  Target cnt có trung bình 189,5, skewness 1,28 và kurtosis 1,42.</w:t>
      </w:r>
    </w:p>
    <w:p>
      <w:pPr>
        <w:pStyle w:val="ReportBody"/>
        <w:keepLines/>
        <w:spacing w:after="40"/>
        <w:ind w:left="288" w:hanging="230"/>
      </w:pPr>
      <w:r>
        <w:rPr>
          <w:rFonts w:ascii="Arial" w:hAnsi="Arial" w:eastAsia="Arial"/>
          <w:b w:val="0"/>
          <w:i w:val="0"/>
          <w:color w:val="252525"/>
          <w:sz w:val="21"/>
        </w:rPr>
        <w:t>•  Trung bình theo giờ năm 2012 cao hơn năm 2011 khoảng 63,2%, cho thấy drift theo thời gian.</w:t>
      </w:r>
    </w:p>
    <w:p>
      <w:pPr>
        <w:pStyle w:val="ReportBody"/>
        <w:keepLines/>
        <w:spacing w:after="40"/>
        <w:ind w:left="288" w:hanging="230"/>
      </w:pPr>
      <w:r>
        <w:rPr>
          <w:rFonts w:ascii="Arial" w:hAnsi="Arial" w:eastAsia="Arial"/>
          <w:b w:val="0"/>
          <w:i w:val="0"/>
          <w:color w:val="252525"/>
          <w:sz w:val="21"/>
        </w:rPr>
        <w:t>•  Mùa vụ ngày và tuần rõ: ACF lag 24 = 0,819 và lag 168 = 0,876.</w:t>
      </w:r>
    </w:p>
    <w:p>
      <w:pPr>
        <w:pStyle w:val="ReportBody"/>
        <w:keepLines/>
        <w:spacing w:after="40"/>
        <w:ind w:left="288" w:hanging="230"/>
      </w:pPr>
      <w:r>
        <w:rPr>
          <w:rFonts w:ascii="Arial" w:hAnsi="Arial" w:eastAsia="Arial"/>
          <w:b w:val="0"/>
          <w:i w:val="0"/>
          <w:color w:val="252525"/>
          <w:sz w:val="21"/>
        </w:rPr>
        <w:t>•  casual + registered = cnt ở mọi dòng; hai cột này gây rò rỉ target.</w:t>
      </w:r>
    </w:p>
    <w:p>
      <w:pPr>
        <w:pStyle w:val="Heading2"/>
      </w:pPr>
      <w:r>
        <w:t>Xử lý đề xuất</w:t>
      </w:r>
    </w:p>
    <w:p>
      <w:pPr>
        <w:pStyle w:val="ReportBody"/>
        <w:keepLines/>
        <w:spacing w:after="40"/>
        <w:ind w:left="288" w:hanging="230"/>
      </w:pPr>
      <w:r>
        <w:rPr>
          <w:rFonts w:ascii="Arial" w:hAnsi="Arial" w:eastAsia="Arial"/>
          <w:b w:val="0"/>
          <w:i w:val="0"/>
          <w:color w:val="252525"/>
          <w:sz w:val="21"/>
        </w:rPr>
        <w:t>•  Loại instant, casual và registered.</w:t>
      </w:r>
    </w:p>
    <w:p>
      <w:pPr>
        <w:pStyle w:val="ReportBody"/>
        <w:keepLines/>
        <w:spacing w:after="40"/>
        <w:ind w:left="288" w:hanging="230"/>
      </w:pPr>
      <w:r>
        <w:rPr>
          <w:rFonts w:ascii="Arial" w:hAnsi="Arial" w:eastAsia="Arial"/>
          <w:b w:val="0"/>
          <w:i w:val="0"/>
          <w:color w:val="252525"/>
          <w:sz w:val="21"/>
        </w:rPr>
        <w:t>•  Dựng lại lưới giờ và đánh dấu các mốc thiếu.</w:t>
      </w:r>
    </w:p>
    <w:p>
      <w:pPr>
        <w:pStyle w:val="ReportBody"/>
        <w:keepLines/>
        <w:spacing w:after="40"/>
        <w:ind w:left="288" w:hanging="230"/>
      </w:pPr>
      <w:r>
        <w:rPr>
          <w:rFonts w:ascii="Arial" w:hAnsi="Arial" w:eastAsia="Arial"/>
          <w:b w:val="0"/>
          <w:i w:val="0"/>
          <w:color w:val="252525"/>
          <w:sz w:val="21"/>
        </w:rPr>
        <w:t>•  Giữ các đỉnh nhu cầu thật; không xóa outlier tự động.</w:t>
      </w:r>
    </w:p>
    <w:p>
      <w:pPr>
        <w:pStyle w:val="ReportBody"/>
        <w:keepLines/>
        <w:spacing w:after="40"/>
        <w:ind w:left="288" w:hanging="230"/>
      </w:pPr>
      <w:r>
        <w:rPr>
          <w:rFonts w:ascii="Arial" w:hAnsi="Arial" w:eastAsia="Arial"/>
          <w:b w:val="0"/>
          <w:i w:val="0"/>
          <w:color w:val="252525"/>
          <w:sz w:val="21"/>
        </w:rPr>
        <w:t>•  Có thể giữ một trong hai biến temp và atemp vì chúng gần trùng nhau.</w:t>
      </w:r>
    </w:p>
    <w:p>
      <w:pPr>
        <w:pStyle w:val="ReportBody"/>
        <w:keepLines/>
        <w:spacing w:after="40"/>
        <w:ind w:left="288" w:hanging="230"/>
      </w:pPr>
      <w:r>
        <w:rPr>
          <w:rFonts w:ascii="Arial" w:hAnsi="Arial" w:eastAsia="Arial"/>
          <w:b w:val="0"/>
          <w:i w:val="0"/>
          <w:color w:val="252525"/>
          <w:sz w:val="21"/>
        </w:rPr>
        <w:t>•  Tạo đặc trưng giờ, ngày trong tuần, ngày làm việc và lag 24/168.</w:t>
      </w:r>
    </w:p>
    <w:p>
      <w:pPr>
        <w:pStyle w:val="ReportBody"/>
        <w:keepLines/>
        <w:spacing w:after="40"/>
        <w:ind w:left="288" w:hanging="230"/>
      </w:pPr>
      <w:r>
        <w:rPr>
          <w:rFonts w:ascii="Arial" w:hAnsi="Arial" w:eastAsia="Arial"/>
          <w:b w:val="0"/>
          <w:i w:val="0"/>
          <w:color w:val="252525"/>
          <w:sz w:val="21"/>
        </w:rPr>
        <w:t>•  Chia train, validation và test theo thời gian.</w:t>
      </w:r>
    </w:p>
    <w:p>
      <w:pPr>
        <w:spacing w:after="0"/>
      </w:pPr>
      <w:r>
        <w:br w:type="page"/>
      </w:r>
    </w:p>
    <w:p>
      <w:pPr>
        <w:pStyle w:val="Heading1"/>
      </w:pPr>
      <w:r>
        <w:t>3. Tetouan City Power Consumption</w:t>
      </w:r>
    </w:p>
    <w:p>
      <w:pPr>
        <w:pStyle w:val="ReportBody"/>
        <w:keepLines w:val="0"/>
        <w:spacing w:before="0" w:after="100"/>
      </w:pPr>
      <w:r>
        <w:rPr>
          <w:rFonts w:ascii="Arial" w:hAnsi="Arial" w:eastAsia="Arial"/>
          <w:b w:val="0"/>
          <w:i w:val="0"/>
          <w:color w:val="252525"/>
          <w:sz w:val="21"/>
        </w:rPr>
        <w:t>Dữ liệu phụ tải điện của ba vùng phân phối tại Tetouan, Morocco, trong năm 2017, kèm nhiệt độ, độ ẩm, tốc độ gió và các biến bức xạ.</w:t>
      </w:r>
    </w:p>
    <w:p>
      <w:pPr>
        <w:pStyle w:val="Heading2"/>
      </w:pPr>
      <w:r>
        <w:t>Kết quả EDA</w:t>
      </w:r>
    </w:p>
    <w:p>
      <w:pPr>
        <w:pStyle w:val="ReportBody"/>
        <w:keepLines/>
        <w:spacing w:after="40"/>
        <w:ind w:left="288" w:hanging="230"/>
      </w:pPr>
      <w:r>
        <w:rPr>
          <w:rFonts w:ascii="Arial" w:hAnsi="Arial" w:eastAsia="Arial"/>
          <w:b w:val="0"/>
          <w:i w:val="0"/>
          <w:color w:val="252525"/>
          <w:sz w:val="21"/>
        </w:rPr>
        <w:t>•  Có 52.416 dòng theo tần suất 10 phút.</w:t>
      </w:r>
    </w:p>
    <w:p>
      <w:pPr>
        <w:pStyle w:val="ReportBody"/>
        <w:keepLines/>
        <w:spacing w:after="40"/>
        <w:ind w:left="288" w:hanging="230"/>
      </w:pPr>
      <w:r>
        <w:rPr>
          <w:rFonts w:ascii="Arial" w:hAnsi="Arial" w:eastAsia="Arial"/>
          <w:b w:val="0"/>
          <w:i w:val="0"/>
          <w:color w:val="252525"/>
          <w:sz w:val="21"/>
        </w:rPr>
        <w:t>•  Không có mốc thời gian thiếu, timestamp trùng hoặc NA.</w:t>
      </w:r>
    </w:p>
    <w:p>
      <w:pPr>
        <w:pStyle w:val="ReportBody"/>
        <w:keepLines/>
        <w:spacing w:after="40"/>
        <w:ind w:left="288" w:hanging="230"/>
      </w:pPr>
      <w:r>
        <w:rPr>
          <w:rFonts w:ascii="Arial" w:hAnsi="Arial" w:eastAsia="Arial"/>
          <w:b w:val="0"/>
          <w:i w:val="0"/>
          <w:color w:val="252525"/>
          <w:sz w:val="21"/>
        </w:rPr>
        <w:t>•  Target trung bình: Zone 1 = 32.345; Zone 2 = 21.043; Zone 3 = 17.835.</w:t>
      </w:r>
    </w:p>
    <w:p>
      <w:pPr>
        <w:pStyle w:val="ReportBody"/>
        <w:keepLines/>
        <w:spacing w:after="40"/>
        <w:ind w:left="288" w:hanging="230"/>
      </w:pPr>
      <w:r>
        <w:rPr>
          <w:rFonts w:ascii="Arial" w:hAnsi="Arial" w:eastAsia="Arial"/>
          <w:b w:val="0"/>
          <w:i w:val="0"/>
          <w:color w:val="252525"/>
          <w:sz w:val="21"/>
        </w:rPr>
        <w:t>•  Zone 1 và Zone 2 tương đối cân bằng; Zone 3 lệch phải hơn với skewness 1,024.</w:t>
      </w:r>
    </w:p>
    <w:p>
      <w:pPr>
        <w:pStyle w:val="ReportBody"/>
        <w:keepLines/>
        <w:spacing w:after="40"/>
        <w:ind w:left="288" w:hanging="230"/>
      </w:pPr>
      <w:r>
        <w:rPr>
          <w:rFonts w:ascii="Arial" w:hAnsi="Arial" w:eastAsia="Arial"/>
          <w:b w:val="0"/>
          <w:i w:val="0"/>
          <w:color w:val="252525"/>
          <w:sz w:val="21"/>
        </w:rPr>
        <w:t>•  Pearson giữa Zone 1 và Zone 2 là 0,835; giữa Zone 1 và Zone 3 là 0,751.</w:t>
      </w:r>
    </w:p>
    <w:p>
      <w:pPr>
        <w:pStyle w:val="ReportBody"/>
        <w:keepLines/>
        <w:spacing w:after="40"/>
        <w:ind w:left="288" w:hanging="230"/>
      </w:pPr>
      <w:r>
        <w:rPr>
          <w:rFonts w:ascii="Arial" w:hAnsi="Arial" w:eastAsia="Arial"/>
          <w:b w:val="0"/>
          <w:i w:val="0"/>
          <w:color w:val="252525"/>
          <w:sz w:val="21"/>
        </w:rPr>
        <w:t>•  Sau khi resample theo giờ, Zone 1 có ACF lag 24 = 0,963 và lag 168 = 0,953.</w:t>
      </w:r>
    </w:p>
    <w:p>
      <w:pPr>
        <w:pStyle w:val="ReportBody"/>
        <w:keepLines/>
        <w:spacing w:after="40"/>
        <w:ind w:left="288" w:hanging="230"/>
      </w:pPr>
      <w:r>
        <w:rPr>
          <w:rFonts w:ascii="Arial" w:hAnsi="Arial" w:eastAsia="Arial"/>
          <w:b w:val="0"/>
          <w:i w:val="0"/>
          <w:color w:val="252525"/>
          <w:sz w:val="21"/>
        </w:rPr>
        <w:t>•  Biến liên quan Zone 1 mạnh nhất theo Spearman: Temperature = 0,433; Humidity = -0,300; general diffuse flows = 0,261.</w:t>
      </w:r>
    </w:p>
    <w:p>
      <w:pPr>
        <w:pStyle w:val="Heading2"/>
      </w:pPr>
      <w:r>
        <w:t>Xử lý đề xuất</w:t>
      </w:r>
    </w:p>
    <w:p>
      <w:pPr>
        <w:pStyle w:val="ReportBody"/>
        <w:keepLines/>
        <w:spacing w:after="40"/>
        <w:ind w:left="288" w:hanging="230"/>
      </w:pPr>
      <w:r>
        <w:rPr>
          <w:rFonts w:ascii="Arial" w:hAnsi="Arial" w:eastAsia="Arial"/>
          <w:b w:val="0"/>
          <w:i w:val="0"/>
          <w:color w:val="252525"/>
          <w:sz w:val="21"/>
        </w:rPr>
        <w:t>•  Parse DateTime và kiểm tra bước 10 phút.</w:t>
      </w:r>
    </w:p>
    <w:p>
      <w:pPr>
        <w:pStyle w:val="ReportBody"/>
        <w:keepLines/>
        <w:spacing w:after="40"/>
        <w:ind w:left="288" w:hanging="230"/>
      </w:pPr>
      <w:r>
        <w:rPr>
          <w:rFonts w:ascii="Arial" w:hAnsi="Arial" w:eastAsia="Arial"/>
          <w:b w:val="0"/>
          <w:i w:val="0"/>
          <w:color w:val="252525"/>
          <w:sz w:val="21"/>
        </w:rPr>
        <w:t>•  Chuẩn hóa riêng từng Zone trước khi huấn luyện multi-output.</w:t>
      </w:r>
    </w:p>
    <w:p>
      <w:pPr>
        <w:pStyle w:val="ReportBody"/>
        <w:keepLines/>
        <w:spacing w:after="40"/>
        <w:ind w:left="288" w:hanging="230"/>
      </w:pPr>
      <w:r>
        <w:rPr>
          <w:rFonts w:ascii="Arial" w:hAnsi="Arial" w:eastAsia="Arial"/>
          <w:b w:val="0"/>
          <w:i w:val="0"/>
          <w:color w:val="252525"/>
          <w:sz w:val="21"/>
        </w:rPr>
        <w:t>•  Tạo đặc trưng giờ, thứ trong tuần và tháng.</w:t>
      </w:r>
    </w:p>
    <w:p>
      <w:pPr>
        <w:pStyle w:val="ReportBody"/>
        <w:keepLines/>
        <w:spacing w:after="40"/>
        <w:ind w:left="288" w:hanging="230"/>
      </w:pPr>
      <w:r>
        <w:rPr>
          <w:rFonts w:ascii="Arial" w:hAnsi="Arial" w:eastAsia="Arial"/>
          <w:b w:val="0"/>
          <w:i w:val="0"/>
          <w:color w:val="252525"/>
          <w:sz w:val="21"/>
        </w:rPr>
        <w:t>•  Có thể giữ dữ liệu 10 phút hoặc resample về giờ; cần ghi rõ dùng trung bình hay tổng.</w:t>
      </w:r>
    </w:p>
    <w:p>
      <w:pPr>
        <w:pStyle w:val="ReportBody"/>
        <w:keepLines/>
        <w:spacing w:after="40"/>
        <w:ind w:left="288" w:hanging="230"/>
      </w:pPr>
      <w:r>
        <w:rPr>
          <w:rFonts w:ascii="Arial" w:hAnsi="Arial" w:eastAsia="Arial"/>
          <w:b w:val="0"/>
          <w:i w:val="0"/>
          <w:color w:val="252525"/>
          <w:sz w:val="21"/>
        </w:rPr>
        <w:t>•  Thử dự báo từng Zone và dự báo đồng thời ba Zone.</w:t>
      </w:r>
    </w:p>
    <w:p>
      <w:pPr>
        <w:pStyle w:val="Heading1"/>
      </w:pPr>
      <w:r>
        <w:t>4. So sánh và hướng mô hình</w:t>
      </w:r>
    </w:p>
    <w:p>
      <w:pPr>
        <w:pStyle w:val="ReportBody"/>
        <w:keepLines/>
        <w:spacing w:after="80"/>
      </w:pPr>
      <w:r>
        <w:rPr>
          <w:rFonts w:ascii="Arial" w:hAnsi="Arial" w:eastAsia="Arial"/>
          <w:b/>
          <w:i w:val="0"/>
          <w:color w:val="1F4E79"/>
          <w:sz w:val="21"/>
        </w:rPr>
        <w:t xml:space="preserve">Bike Sharing. </w:t>
      </w:r>
      <w:r>
        <w:rPr>
          <w:rFonts w:ascii="Arial" w:hAnsi="Arial" w:eastAsia="Arial"/>
          <w:b w:val="0"/>
          <w:i w:val="0"/>
          <w:color w:val="252525"/>
          <w:sz w:val="21"/>
        </w:rPr>
        <w:t>Một target đếm theo giờ, có drift và thiếu một số mốc thời gian.</w:t>
      </w:r>
    </w:p>
    <w:p>
      <w:pPr>
        <w:pStyle w:val="ReportBody"/>
        <w:keepLines/>
        <w:spacing w:after="80"/>
      </w:pPr>
      <w:r>
        <w:rPr>
          <w:rFonts w:ascii="Arial" w:hAnsi="Arial" w:eastAsia="Arial"/>
          <w:b/>
          <w:i w:val="0"/>
          <w:color w:val="1F4E79"/>
          <w:sz w:val="21"/>
        </w:rPr>
        <w:t xml:space="preserve">Tetouan. </w:t>
      </w:r>
      <w:r>
        <w:rPr>
          <w:rFonts w:ascii="Arial" w:hAnsi="Arial" w:eastAsia="Arial"/>
          <w:b w:val="0"/>
          <w:i w:val="0"/>
          <w:color w:val="252525"/>
          <w:sz w:val="21"/>
        </w:rPr>
        <w:t>Ba target phụ tải liên tục, dữ liệu sạch, có tương quan giữa các vùng và tần suất cao hơn.</w:t>
      </w:r>
    </w:p>
    <w:p>
      <w:pPr>
        <w:pStyle w:val="ReportBody"/>
        <w:keepLines w:val="0"/>
        <w:spacing w:before="0" w:after="100"/>
      </w:pPr>
      <w:r>
        <w:rPr>
          <w:rFonts w:ascii="Arial" w:hAnsi="Arial" w:eastAsia="Arial"/>
          <w:b w:val="0"/>
          <w:i w:val="0"/>
          <w:color w:val="252525"/>
          <w:sz w:val="21"/>
        </w:rPr>
        <w:t>Nên bắt đầu bằng naive và seasonal-naive, sau đó thử GRU, LSTM hoặc TCN nhỏ. Không nên dùng Transformer lớn ngay từ đầu vì hai dataset đều tương đối nhỏ.</w:t>
      </w:r>
    </w:p>
    <w:p>
      <w:pPr>
        <w:pStyle w:val="Heading2"/>
      </w:pPr>
      <w:r>
        <w:t>Nguyên tắc đánh giá</w:t>
      </w:r>
    </w:p>
    <w:p>
      <w:pPr>
        <w:pStyle w:val="ReportBody"/>
        <w:keepLines/>
        <w:spacing w:after="40"/>
        <w:ind w:left="288" w:hanging="230"/>
      </w:pPr>
      <w:r>
        <w:rPr>
          <w:rFonts w:ascii="Arial" w:hAnsi="Arial" w:eastAsia="Arial"/>
          <w:b w:val="0"/>
          <w:i w:val="0"/>
          <w:color w:val="252525"/>
          <w:sz w:val="21"/>
        </w:rPr>
        <w:t>•  Chia dữ liệu theo thời gian.</w:t>
      </w:r>
    </w:p>
    <w:p>
      <w:pPr>
        <w:pStyle w:val="ReportBody"/>
        <w:keepLines/>
        <w:spacing w:after="40"/>
        <w:ind w:left="288" w:hanging="230"/>
      </w:pPr>
      <w:r>
        <w:rPr>
          <w:rFonts w:ascii="Arial" w:hAnsi="Arial" w:eastAsia="Arial"/>
          <w:b w:val="0"/>
          <w:i w:val="0"/>
          <w:color w:val="252525"/>
          <w:sz w:val="21"/>
        </w:rPr>
        <w:t>•  Fit scaler chỉ trên tập train.</w:t>
      </w:r>
    </w:p>
    <w:p>
      <w:pPr>
        <w:pStyle w:val="ReportBody"/>
        <w:keepLines/>
        <w:spacing w:after="40"/>
        <w:ind w:left="288" w:hanging="230"/>
      </w:pPr>
      <w:r>
        <w:rPr>
          <w:rFonts w:ascii="Arial" w:hAnsi="Arial" w:eastAsia="Arial"/>
          <w:b w:val="0"/>
          <w:i w:val="0"/>
          <w:color w:val="252525"/>
          <w:sz w:val="21"/>
        </w:rPr>
        <w:t>•  Báo cáo MAE, RMSE và sMAPE.</w:t>
      </w:r>
    </w:p>
    <w:p>
      <w:pPr>
        <w:pStyle w:val="ReportBody"/>
        <w:keepLines/>
        <w:spacing w:after="40"/>
        <w:ind w:left="288" w:hanging="230"/>
      </w:pPr>
      <w:r>
        <w:rPr>
          <w:rFonts w:ascii="Arial" w:hAnsi="Arial" w:eastAsia="Arial"/>
          <w:b w:val="0"/>
          <w:i w:val="0"/>
          <w:color w:val="252525"/>
          <w:sz w:val="21"/>
        </w:rPr>
        <w:t>•  Ghi rõ lookback, forecast horizon, tần suất và cách xử lý timestamp thiếu hoặc resample.</w:t>
      </w:r>
    </w:p>
    <w:p>
      <w:pPr>
        <w:pStyle w:val="Heading1"/>
      </w:pPr>
      <w:r>
        <w:t>5. Kết luận</w:t>
      </w:r>
    </w:p>
    <w:p>
      <w:pPr>
        <w:pStyle w:val="ReportBody"/>
        <w:keepLines w:val="0"/>
        <w:spacing w:before="0" w:after="100"/>
      </w:pPr>
      <w:r>
        <w:rPr>
          <w:rFonts w:ascii="Arial" w:hAnsi="Arial" w:eastAsia="Arial"/>
          <w:b w:val="0"/>
          <w:i w:val="0"/>
          <w:color w:val="252525"/>
          <w:sz w:val="21"/>
        </w:rPr>
        <w:t>UCI Bike Sharing phù hợp cho demand forecasting theo giờ. Tetouan City phù hợp cho load forecasting đa biến và multi-output. Đây là một cặp dataset nhẹ, dễ triển khai trên máy yếu và đủ để nghiên cứu các mô hình time series cơ bản đến deep learning nhỏ.</w:t>
      </w:r>
    </w:p>
    <w:p>
      <w:pPr>
        <w:pStyle w:val="Heading1"/>
      </w:pPr>
      <w:r>
        <w:t>Tài liệu tham khảo</w:t>
      </w:r>
    </w:p>
    <w:p>
      <w:pPr>
        <w:pStyle w:val="ReferenceCompact"/>
        <w:keepLines/>
      </w:pPr>
      <w:r>
        <w:t>[1] Fanaee-T &amp; Gama (2014), Event labeling combining ensemble detectors and background knowledge. DOI: 10.1007/s13748-013-0040-3</w:t>
      </w:r>
    </w:p>
    <w:p>
      <w:pPr>
        <w:pStyle w:val="ReferenceCompact"/>
        <w:keepLines/>
      </w:pPr>
      <w:r>
        <w:t>[2] Fanaee-T (2013), Bike Sharing, UCI Machine Learning Repository. DOI: 10.24432/C5W894</w:t>
      </w:r>
    </w:p>
    <w:p>
      <w:pPr>
        <w:pStyle w:val="ReferenceCompact"/>
        <w:keepLines/>
      </w:pPr>
      <w:r>
        <w:t>[3] Salam &amp; El Hibaoui (2018), Comparison of Machine Learning Algorithms for the Power Consumption Prediction: Case Study of Tetouan city. DOI: 10.1109/IRSEC.2018.8703007</w:t>
      </w:r>
    </w:p>
    <w:p>
      <w:pPr>
        <w:pStyle w:val="ReferenceCompact"/>
        <w:keepLines/>
      </w:pPr>
      <w:r>
        <w:t>[4] Salam &amp; El Hibaoui (2023), Power Consumption of Tetouan City, UCI Machine Learning Repository. DOI: 10.24432/C5B034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08" w:right="1224" w:bottom="936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667085"/>
        <w:sz w:val="16"/>
      </w:rPr>
      <w:t xml:space="preserve">UCI Bike Sharing và Tetouan City   •   Trang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b/>
        <w:i w:val="0"/>
        <w:color w:val="667085"/>
        <w:sz w:val="16"/>
      </w:rPr>
      <w:t>BÁO CÁO EDA  |  TIME SERIES FORECASTING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00"/>
    </w:pPr>
    <w:rPr>
      <w:rFonts w:ascii="Arial" w:hAnsi="Arial" w:eastAsia="Arial"/>
      <w:color w:val="25252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Body">
    <w:name w:val="Report Body"/>
    <w:basedOn w:val="Normal"/>
    <w:pPr>
      <w:widowControl/>
      <w:spacing w:line="259" w:lineRule="auto" w:after="100"/>
    </w:pPr>
    <w:rPr>
      <w:rFonts w:ascii="Arial" w:hAnsi="Arial" w:eastAsia="Arial"/>
      <w:color w:val="252525"/>
      <w:sz w:val="21"/>
    </w:rPr>
  </w:style>
  <w:style w:type="paragraph" w:customStyle="1" w:styleId="ReportSmall">
    <w:name w:val="Report Small"/>
    <w:basedOn w:val="Normal"/>
    <w:pPr>
      <w:spacing w:after="60"/>
    </w:pPr>
    <w:rPr>
      <w:rFonts w:ascii="Arial" w:hAnsi="Arial" w:eastAsia="Arial"/>
      <w:color w:val="667085"/>
      <w:sz w:val="18"/>
    </w:rPr>
  </w:style>
  <w:style w:type="paragraph" w:customStyle="1" w:styleId="ReferenceCompact">
    <w:name w:val="Reference Compact"/>
    <w:pPr>
      <w:spacing w:after="40" w:line="240" w:lineRule="auto"/>
    </w:pPr>
    <w:rPr>
      <w:rFonts w:ascii="Arial" w:hAnsi="Arial" w:eastAsia="Arial"/>
      <w:color w:val="50505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