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t>Mạng truyền thẳng kết nối đầy đủ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Các nơron kết nối với nhau tạo thành mạng nơron, có rất nhiều kiến trúc mạng khác nhau đã được thử nghiệm và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sử dụng trong thực tế.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Ở kiến trúc mạng nhiều lớp truyền thẳng, các nơron đươc chia thành các nhóm hay các lớp (layer), các lớp được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sắp xếp theo thứ tự tuyến tính. Các nơron trong cùng một lớp không được kết nối với nhau. Một nơron thuộc lớp trước kết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nối tới các nơron thuộc lớp liền sau. Như vậy tín hiệu được truyền từ lớp đầu vào đến lớp đầu ra theo một hướng.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Việc các nơron giữa hai lớp liên tiếp được kết nối như thế nào tùy thuộc vào bài toán cụ thể và topo mạng nơron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thường được lựa chọn dựa trên góc nhìn chủ quan của mô hình được đề xuất cho bài toán đó.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Trong bài toán dự báo</w:t>
      </w:r>
      <w:r w:rsidR="00DC3466" w:rsidRPr="00DC346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lượng mưa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, do chưa thể biết tham số nào là quan trọng với kết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quả đầu ra,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mô hình đề xuất sử dụng kết nối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đầy đủ: nơron thuộc lớp trước kết nối với tất cả các nơron thuộc lớp kế tiếp.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Việc lựa chọn đặc trưng và tham số sẽ do thu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ật toán học quyết định, dựa vào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việc đánh giá trọng số kết nối.</w:t>
      </w:r>
    </w:p>
    <w:p w:rsidR="006C694C" w:rsidRDefault="006C694C" w:rsidP="006C694C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Hình 1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minh họa nơron lớp thứ i là Lli </w:t>
      </w:r>
      <w:bookmarkStart w:id="0" w:name="_GoBack"/>
      <w:bookmarkEnd w:id="0"/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được kết nối đầy đủ với tất cả các nơron thuộc lớp trước và sau nó. Như vậy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giữa hai lớp mạng nơron Ll-1 và Ll chúng ta sử dụng một ma trận trọng số kí hiệu là W(l-1) có kích cỡ |L(l-1)| x |Ll|, tương tự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như vậy, ma trận trọng số Wl có kích cỡ |Ll| x |L(l+1)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| lưu trữ các trọng số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kết nối giữa các nơron thuộc lớp Ll và Ll+1.</w:t>
      </w:r>
      <w:r w:rsidRPr="006C694C">
        <w:rPr>
          <w:rFonts w:asciiTheme="majorHAnsi" w:eastAsia="Times New Roman" w:hAnsiTheme="majorHAnsi" w:cstheme="majorHAnsi"/>
          <w:sz w:val="28"/>
          <w:szCs w:val="28"/>
          <w:lang w:eastAsia="vi-VN"/>
        </w:rPr>
        <w:br/>
      </w:r>
      <w:r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>
            <wp:extent cx="3076575" cy="2810266"/>
            <wp:effectExtent l="0" t="0" r="0" b="9525"/>
            <wp:docPr id="1" name="Picture 1" descr="C:\Users\visnu\Pictures\thuc-tap\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nu\Pictures\thuc-tap\b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66" cy="28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i/>
          <w:color w:val="000000"/>
          <w:sz w:val="28"/>
          <w:szCs w:val="28"/>
          <w:lang w:eastAsia="vi-VN"/>
        </w:rPr>
        <w:t xml:space="preserve">Hình 1: </w:t>
      </w:r>
      <w:r w:rsidRPr="006C694C">
        <w:rPr>
          <w:rFonts w:ascii="Times New Roman" w:hAnsi="Times New Roman" w:cs="Times New Roman"/>
          <w:i/>
          <w:color w:val="000000"/>
          <w:sz w:val="28"/>
          <w:szCs w:val="28"/>
        </w:rPr>
        <w:t>Kết nối đầy đủ của một neural nhân tạo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lastRenderedPageBreak/>
        <w:br/>
      </w: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t>Thuật toán lan truyền tới (feed forward)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Thuật toán này sử dụng để tính toán kết quả đầu ra của mạng nơron với đầu vào là véctơ x(0), W = {W(0), W(1),…,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W(L-1)} l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à tập hợp các ma trận trọng số,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W(i) là ma trận trọng số của các kết nối giữa các nơron thuộc lớp i và lớp i+1.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>
            <wp:extent cx="5114925" cy="2095500"/>
            <wp:effectExtent l="0" t="0" r="9525" b="0"/>
            <wp:docPr id="2" name="Picture 2" descr="C:\Users\visnu\Pictures\thuc-tap\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nu\Pictures\thuc-tap\b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t>Hàm mất mát (loss function)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Tổng của các độ sai lệch giữa dữ liệu ra của mạng nơron h(xd;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W), và dữ liệu ra cần đạt được, g(xd), thể hiện độ tốt của tập tham số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hiện tại. Nếu tập huấn luyện là cố định, tổng này về bản chất là một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hàm số chỉ phụ thuộc vào tập tham số W được định nghĩa: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>
            <wp:extent cx="4371975" cy="790575"/>
            <wp:effectExtent l="0" t="0" r="9525" b="9525"/>
            <wp:docPr id="3" name="Picture 3" descr="C:\Users\visnu\Pictures\thuc-tap\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nu\Pictures\thuc-tap\b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 xml:space="preserve">với D là tập huấn luyện, </w:t>
      </w:r>
      <w:r w:rsidRPr="006C694C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vi-VN"/>
        </w:rPr>
        <w:t xml:space="preserve">dist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là một hàm tính độ chênh l</w:t>
      </w:r>
      <w:r w:rsidR="00F431A7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ệch giữa hai điểm dữ liệu ra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Trong quá trình huấn luyện, giá trị của hàm mất mát càng nhỏ thì đầu ra của mạng nơron càng gần với đích huấn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luyện. Như vậy ở góc nhìn này việc huấn luyện mạng nơron về bản chất là việc điều chỉnh tham số W để cực tiểu hóa hàm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="0061789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số Loss(W)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t>Thuật toán huấn luyện bằng lan truyền ngược lỗi (back-propagation)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Thuật toán lan truyền ngược lỗi dựa trên ý tưở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ng rất đơn giản: khi đầu ra của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mạng nơron không được như mong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muốn, chú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ng ta sẽ điều chỉnh giá trị các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tham số của mạng nơron. Do mạng là phân lớp và truyền thẳng, quá trình điều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chỉnh sẽ đi theo chiều ngược lại, điều chỉnh từ l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ớp đầu ra, các lớp ẩn,… cho đến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lớp đầu tiên (đây là xuất xứ của tên gọi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="0061789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“lan truyền ngược”)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lastRenderedPageBreak/>
        <w:drawing>
          <wp:inline distT="0" distB="0" distL="0" distR="0">
            <wp:extent cx="5934075" cy="2162114"/>
            <wp:effectExtent l="0" t="0" r="0" b="0"/>
            <wp:docPr id="5" name="Picture 5" descr="C:\Users\visnu\Pictures\thuc-tap\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nu\Pictures\thuc-tap\b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71" cy="218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 w:rsidR="00742092" w:rsidRP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ối với việc tính toán tham số điều chỉnh W, mô hình đề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xuất sử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dụng thuật toán SGD (Stochastic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Gradient Desc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ent)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; thuật toán nhanh hơn so với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phương pháp GD (Gradient Descent) thông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thường, ngoài ra cho phép huấn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luyện mạng ngay cả khi không có toàn bộ tập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dữ liệu huấn luyện ngay từ đầu.</w:t>
      </w:r>
    </w:p>
    <w:p w:rsidR="006C694C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t>Khả năng xấp xỉ của mạng nơron và hiện tượng quá khớp (overfitting)</w:t>
      </w:r>
    </w:p>
    <w:p w:rsidR="00742092" w:rsidRDefault="006C694C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6C694C">
        <w:rPr>
          <w:rFonts w:asciiTheme="majorHAnsi" w:eastAsia="Times New Roman" w:hAnsiTheme="majorHAnsi" w:cstheme="majorHAnsi"/>
          <w:b/>
          <w:bCs/>
          <w:i/>
          <w:iCs/>
          <w:color w:val="000000"/>
          <w:sz w:val="28"/>
          <w:szCs w:val="28"/>
          <w:lang w:eastAsia="vi-VN"/>
        </w:rPr>
        <w:br/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Mạng nơron đã được chứng minh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có khả năng xấp xỉ vạn năng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v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ới số lớp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không quá lớn (4 lớp). Tuy nhiên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nghiên cứu kh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ông chỉ ra được việc huấn luyện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xấp xỉ như thế nào và khả năng tổng quát hóa (dự báo) của mạng. Ngoài ra,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không có phương pháp nào ước lượng số nơron 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cần có trên mỗi lớp và topo kết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nối giữa các lớp với nhau.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</w:p>
    <w:p w:rsidR="00742092" w:rsidRDefault="00742092" w:rsidP="006C694C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:rsidR="00822FEF" w:rsidRPr="006C694C" w:rsidRDefault="006C694C" w:rsidP="006C694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Khả năng xấp xỉ và mô hình hóa rất mạnh của mạng nơron không phải luôn luôn có lợi; nó dẫn đến việc mạng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nơron rất dễ bị hiện tượng quá khớp (overfitting). Hiện tượng này xảy ra khi quá trình huấn luyện mạng nơron dẫn đến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việc mạng đã lựa chọn xấp xỉ một hàm phức tạp quá mức cần thiết, hàm này mô phỏng hoàn hảo các tình huống huấn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luyện, nhưng do cấu trúc phức tạp, hàm lại không có tính tổng quát hóa cao hoặc rất thiếu ổn định, hệ quả là mạng dự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6C694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đoán không chính xác với các mẫu không có trong tập h</w:t>
      </w:r>
      <w:r w:rsidR="0074209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uấn luyện.</w:t>
      </w:r>
    </w:p>
    <w:sectPr w:rsidR="00822FEF" w:rsidRPr="006C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ld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Brush Script St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4C"/>
    <w:rsid w:val="0061789D"/>
    <w:rsid w:val="006C694C"/>
    <w:rsid w:val="00742092"/>
    <w:rsid w:val="00822FEF"/>
    <w:rsid w:val="00921357"/>
    <w:rsid w:val="00DC3466"/>
    <w:rsid w:val="00F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97FE22-BBE0-4B9C-9C9C-F08AEBB3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694C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C694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C694C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6C694C"/>
    <w:rPr>
      <w:rFonts w:ascii="BoldItalic" w:hAnsi="BoldItalic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C694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6C694C"/>
    <w:rPr>
      <w:rFonts w:ascii="Cambria Math" w:hAnsi="Cambria Mat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6C694C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6C694C"/>
    <w:rPr>
      <w:rFonts w:ascii="Brush Script Std" w:hAnsi="Brush Script Std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</dc:creator>
  <cp:keywords/>
  <dc:description/>
  <cp:lastModifiedBy>visnu</cp:lastModifiedBy>
  <cp:revision>5</cp:revision>
  <dcterms:created xsi:type="dcterms:W3CDTF">2019-01-02T10:37:00Z</dcterms:created>
  <dcterms:modified xsi:type="dcterms:W3CDTF">2019-01-02T10:53:00Z</dcterms:modified>
</cp:coreProperties>
</file>