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b9sl3krj0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 — Phân loại ghi chú và xác định vị trí IEEE 830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755"/>
        <w:gridCol w:w="5775"/>
        <w:tblGridChange w:id="0">
          <w:tblGrid>
            <w:gridCol w:w="1305"/>
            <w:gridCol w:w="1755"/>
            <w:gridCol w:w="57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IEEE 830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3.2 Functional Requirements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 chức năng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 Specific Requirements - Performance Requirements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3.2 Functional Requirements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 chức năng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 Specific Requirements - Software System Attributes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 chức năng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 Specific Requirements - Security Requirements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0bm56722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 — Xác định vị trí cho sơ đồ có sẵn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540"/>
        <w:gridCol w:w="3645"/>
        <w:tblGridChange w:id="0">
          <w:tblGrid>
            <w:gridCol w:w="1635"/>
            <w:gridCol w:w="3540"/>
            <w:gridCol w:w="36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IEEE 830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Sơ đồ Use Case tổng thể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2.2 Product Functions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Cung cấp góc nhìn tổng quan về giới hạn hệ thống, các tác nhân tham gia và các luồng chức năng chính.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Sơ đồ ERD Đơn hàng - Món ăn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3. Specific Requirements - Logical Database Requirements hoặc Phụ lục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Đặc tả chi tiết cấu trúc cơ sở dữ liệu logic, các thực thể và mối quan hệ lưu trữ cốt lõi của phần mềm.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08z3n0lq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 — Chuẩn hóa các ghi chú vi phạm đặc tính vàng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3735"/>
        <w:gridCol w:w="4170"/>
        <w:tblGridChange w:id="0">
          <w:tblGrid>
            <w:gridCol w:w="930"/>
            <w:gridCol w:w="3735"/>
            <w:gridCol w:w="41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tính vàng bị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Viết lại đạt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 phạm tính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</w:t>
            </w:r>
            <w:r w:rsidDel="00000000" w:rsidR="00000000" w:rsidRPr="00000000">
              <w:rPr>
                <w:rtl w:val="0"/>
              </w:rPr>
              <w:t xml:space="preserve"> do chứa từ cảm tính không thể đo lường là "nhanh chóng".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Sau khi quét mã QR thành công, hệ thống phải tải và hiển thị toàn bộ thực đơn trên màn hình khách hàng trong thời gian tối đa 2 giây.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chú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 phạm tính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</w:t>
            </w:r>
            <w:r w:rsidDel="00000000" w:rsidR="00000000" w:rsidRPr="00000000">
              <w:rPr>
                <w:rtl w:val="0"/>
              </w:rPr>
              <w:t xml:space="preserve"> do chứa các từ mơ hồ như "tốt", "phổ biến", "quá cũ".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phải tương thích và hoạt động đầy đủ tính năng trên các trình duyệt di động bao gồm Chrome bản 100 trở lên và Safari bản 15 trở lên.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