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6"/>
          <w:szCs w:val="26"/>
        </w:rPr>
        <w:t xml:space="preserve">CÔNG TY ĐIỆN LỰC LÂM ĐỒNG</w:t>
      </w:r>
    </w:p>
    <w:p>
      <w:pPr>
        <w:spacing w:after="300"/>
        <w:jc w:val="center"/>
      </w:pPr>
      <w:r>
        <w:rPr>
          <w:rFonts w:ascii="Times New Roman" w:cs="Times New Roman" w:eastAsia="Times New Roman" w:hAnsi="Times New Roman"/>
          <w:i/>
          <w:iCs/>
          <w:sz w:val="22"/>
          <w:szCs w:val="22"/>
        </w:rPr>
        <w:t xml:space="preserve">PHÒNG TÀI CHÍNH KẾ TOÁN</w:t>
      </w:r>
    </w:p>
    <w:p>
      <w:pPr>
        <w:spacing w:after="60"/>
        <w:jc w:val="center"/>
      </w:pPr>
      <w:r>
        <w:rPr>
          <w:rFonts w:ascii="Times New Roman" w:cs="Times New Roman" w:eastAsia="Times New Roman" w:hAnsi="Times New Roman"/>
          <w:b/>
          <w:bCs/>
          <w:sz w:val="32"/>
          <w:szCs w:val="32"/>
        </w:rPr>
        <w:t xml:space="preserve">BÁO CÁO PHÂN TÍCH</w:t>
      </w:r>
    </w:p>
    <w:p>
      <w:pPr>
        <w:spacing w:after="60"/>
        <w:jc w:val="center"/>
      </w:pPr>
      <w:r>
        <w:rPr>
          <w:rFonts w:ascii="Times New Roman" w:cs="Times New Roman" w:eastAsia="Times New Roman" w:hAnsi="Times New Roman"/>
          <w:b/>
          <w:bCs/>
          <w:sz w:val="28"/>
          <w:szCs w:val="28"/>
        </w:rPr>
        <w:t xml:space="preserve">TÌNH HÌNH THU TIỀN ĐIỆN QUA NGÂN HÀNG THÁNG 8/2026</w:t>
      </w:r>
    </w:p>
    <w:p>
      <w:pPr>
        <w:pBdr>
          <w:bottom w:val="single" w:color="auto" w:sz="6" w:space="1"/>
        </w:pBdr>
        <w:spacing w:after="300"/>
        <w:jc w:val="center"/>
      </w:pPr>
      <w:r>
        <w:rPr>
          <w:sz w:val="2"/>
          <w:szCs w:val="2"/>
        </w:rPr>
        <w:t xml:space="preserve"/>
      </w:r>
    </w:p>
    <w:p>
      <w:pPr>
        <w:pStyle w:val="Heading1"/>
        <w:spacing w:after="160" w:before="240"/>
      </w:pPr>
      <w:r>
        <w:rPr>
          <w:rFonts w:ascii="Times New Roman" w:cs="Times New Roman" w:eastAsia="Times New Roman" w:hAnsi="Times New Roman"/>
          <w:b/>
          <w:bCs/>
          <w:sz w:val="28"/>
          <w:szCs w:val="28"/>
        </w:rPr>
        <w:t xml:space="preserve">1. Tổng quan chung</w:t>
      </w:r>
    </w:p>
    <w:p>
      <w:pPr>
        <w:spacing w:after="160" w:line="360"/>
        <w:jc w:val="both"/>
      </w:pPr>
      <w:r>
        <w:rPr>
          <w:rFonts w:ascii="Times New Roman" w:cs="Times New Roman" w:eastAsia="Times New Roman" w:hAnsi="Times New Roman"/>
          <w:b w:val="false"/>
          <w:bCs w:val="false"/>
          <w:i w:val="false"/>
          <w:iCs w:val="false"/>
          <w:sz w:val="26"/>
          <w:szCs w:val="26"/>
        </w:rPr>
        <w:t xml:space="preserve">Tỷ lệ thu tiền điện qua ngân hàng toàn Công ty tháng 8/2026 đạt 54,41%, tăng nhẹ 0,26 điểm % so với tháng 7/2026 (54,15%). Tuy có cải thiện, tỷ lệ này vẫn còn cách khá xa so với kế hoạch giao (60,00%), thấp hơn 5,59 điểm %. Điều này cho thấy công tác vận động, chuyển đổi hình thức thanh toán qua ngân hàng vẫn cần được đẩy mạnh hơn nữa trong các tháng tiếp theo để rút ngắn khoảng cách với chỉ tiêu.</w:t>
      </w:r>
    </w:p>
    <w:p>
      <w:pPr>
        <w:pStyle w:val="Heading1"/>
        <w:spacing w:after="160" w:before="240"/>
      </w:pPr>
      <w:r>
        <w:rPr>
          <w:rFonts w:ascii="Times New Roman" w:cs="Times New Roman" w:eastAsia="Times New Roman" w:hAnsi="Times New Roman"/>
          <w:b/>
          <w:bCs/>
          <w:sz w:val="28"/>
          <w:szCs w:val="28"/>
        </w:rPr>
        <w:t xml:space="preserve">2. Số Điện lực đạt và không đạt chỉ tiêu</w:t>
      </w:r>
    </w:p>
    <w:p>
      <w:pPr>
        <w:spacing w:after="160" w:line="360"/>
        <w:jc w:val="both"/>
      </w:pPr>
      <w:r>
        <w:rPr>
          <w:rFonts w:ascii="Times New Roman" w:cs="Times New Roman" w:eastAsia="Times New Roman" w:hAnsi="Times New Roman"/>
          <w:b w:val="false"/>
          <w:bCs w:val="false"/>
          <w:i w:val="false"/>
          <w:iCs w:val="false"/>
          <w:sz w:val="26"/>
          <w:szCs w:val="26"/>
        </w:rPr>
        <w:t xml:space="preserve">Trong tổng số 30 đơn vị (Điện lực/Chi nhánh) được thống kê:</w:t>
      </w:r>
    </w:p>
    <w:p>
      <w:pPr>
        <w:spacing w:after="160" w:line="360"/>
        <w:jc w:val="left"/>
      </w:pPr>
      <w:r>
        <w:rPr>
          <w:rFonts w:ascii="Times New Roman" w:cs="Times New Roman" w:eastAsia="Times New Roman" w:hAnsi="Times New Roman"/>
          <w:b w:val="false"/>
          <w:bCs w:val="false"/>
          <w:i w:val="false"/>
          <w:iCs w:val="false"/>
          <w:sz w:val="26"/>
          <w:szCs w:val="26"/>
        </w:rPr>
        <w:t xml:space="preserve">- Đạt chỉ tiêu kế hoạch giao: chỉ có 01 đơn vị – Trường Sa (PB0211), đạt đúng 100,00%/100,00% kế hoạch, so sánh 0,00%.</w:t>
      </w:r>
    </w:p>
    <w:p>
      <w:pPr>
        <w:spacing w:after="160" w:line="360"/>
        <w:jc w:val="left"/>
      </w:pPr>
      <w:r>
        <w:rPr>
          <w:rFonts w:ascii="Times New Roman" w:cs="Times New Roman" w:eastAsia="Times New Roman" w:hAnsi="Times New Roman"/>
          <w:b w:val="false"/>
          <w:bCs w:val="false"/>
          <w:i w:val="false"/>
          <w:iCs w:val="false"/>
          <w:sz w:val="26"/>
          <w:szCs w:val="26"/>
        </w:rPr>
        <w:t xml:space="preserve">- Không đạt chỉ tiêu: 29/30 đơn vị, chiếm 96,7% tổng số đơn vị. Mức chênh lệch so với kế hoạch dao động từ -1,32% (thấp nhất) đến -11,95% (cao nhất).</w:t>
      </w:r>
    </w:p>
    <w:p>
      <w:pPr>
        <w:spacing w:after="160" w:line="360"/>
        <w:jc w:val="both"/>
      </w:pPr>
      <w:r>
        <w:rPr>
          <w:rFonts w:ascii="Times New Roman" w:cs="Times New Roman" w:eastAsia="Times New Roman" w:hAnsi="Times New Roman"/>
          <w:b w:val="false"/>
          <w:bCs w:val="false"/>
          <w:i w:val="false"/>
          <w:iCs w:val="false"/>
          <w:sz w:val="26"/>
          <w:szCs w:val="26"/>
        </w:rPr>
        <w:t xml:space="preserve">Như vậy, ngoại trừ trường hợp đặc thù Trường Sa, hầu như toàn bộ các Điện lực đều chưa hoàn thành chỉ tiêu thu qua ngân hàng được giao trong tháng 8/2026.</w:t>
      </w:r>
    </w:p>
    <w:p>
      <w:pPr>
        <w:spacing w:after="160" w:line="360"/>
        <w:jc w:val="left"/>
      </w:pPr>
      <w:r>
        <w:rPr>
          <w:rFonts w:ascii="Times New Roman" w:cs="Times New Roman" w:eastAsia="Times New Roman" w:hAnsi="Times New Roman"/>
          <w:b/>
          <w:bCs/>
          <w:i w:val="false"/>
          <w:iCs w:val="false"/>
          <w:sz w:val="26"/>
          <w:szCs w:val="26"/>
        </w:rPr>
        <w:t xml:space="preserve">Bảng 1: 5 đơn vị có mức chênh lệch so với kế hoạch lớn nhất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550"/>
        <w:gridCol w:w="1700"/>
        <w:gridCol w:w="1600"/>
        <w:gridCol w:w="1600"/>
      </w:tblGrid>
      <w:tr>
        <w:trPr>
          <w:tblHeader/>
        </w:trPr>
        <w:tc>
          <w:tcPr>
            <w:tcW w:type="dxa" w:w="900"/>
            <w:shd w:fill="D9D9D9" w:val="clear"/>
            <w:vAlign w:val="center"/>
          </w:tcPr>
          <w:p>
            <w:pPr>
              <w:jc w:val="center"/>
            </w:pPr>
            <w:r>
              <w:rPr>
                <w:rFonts w:ascii="Times New Roman" w:cs="Times New Roman" w:eastAsia="Times New Roman" w:hAnsi="Times New Roman"/>
                <w:b/>
                <w:bCs/>
                <w:sz w:val="22"/>
                <w:szCs w:val="22"/>
              </w:rPr>
              <w:t xml:space="preserve">STT</w:t>
            </w:r>
          </w:p>
        </w:tc>
        <w:tc>
          <w:tcPr>
            <w:tcW w:type="dxa" w:w="3550"/>
            <w:shd w:fill="D9D9D9" w:val="clear"/>
            <w:vAlign w:val="center"/>
          </w:tcPr>
          <w:p>
            <w:pPr>
              <w:jc w:val="center"/>
            </w:pPr>
            <w:r>
              <w:rPr>
                <w:rFonts w:ascii="Times New Roman" w:cs="Times New Roman" w:eastAsia="Times New Roman" w:hAnsi="Times New Roman"/>
                <w:b/>
                <w:bCs/>
                <w:sz w:val="22"/>
                <w:szCs w:val="22"/>
              </w:rPr>
              <w:t xml:space="preserve">Điện lực</w:t>
            </w:r>
          </w:p>
        </w:tc>
        <w:tc>
          <w:tcPr>
            <w:tcW w:type="dxa" w:w="1700"/>
            <w:shd w:fill="D9D9D9" w:val="clear"/>
            <w:vAlign w:val="center"/>
          </w:tcPr>
          <w:p>
            <w:pPr>
              <w:jc w:val="center"/>
            </w:pPr>
            <w:r>
              <w:rPr>
                <w:rFonts w:ascii="Times New Roman" w:cs="Times New Roman" w:eastAsia="Times New Roman" w:hAnsi="Times New Roman"/>
                <w:b/>
                <w:bCs/>
                <w:sz w:val="22"/>
                <w:szCs w:val="22"/>
              </w:rPr>
              <w:t xml:space="preserve">Tỷ lệ T8/2026</w:t>
            </w:r>
          </w:p>
        </w:tc>
        <w:tc>
          <w:tcPr>
            <w:tcW w:type="dxa" w:w="1600"/>
            <w:shd w:fill="D9D9D9" w:val="clear"/>
            <w:vAlign w:val="center"/>
          </w:tcPr>
          <w:p>
            <w:pPr>
              <w:jc w:val="center"/>
            </w:pPr>
            <w:r>
              <w:rPr>
                <w:rFonts w:ascii="Times New Roman" w:cs="Times New Roman" w:eastAsia="Times New Roman" w:hAnsi="Times New Roman"/>
                <w:b/>
                <w:bCs/>
                <w:sz w:val="22"/>
                <w:szCs w:val="22"/>
              </w:rPr>
              <w:t xml:space="preserve">Kế hoạch</w:t>
            </w:r>
          </w:p>
        </w:tc>
        <w:tc>
          <w:tcPr>
            <w:tcW w:type="dxa" w:w="1600"/>
            <w:shd w:fill="D9D9D9" w:val="clear"/>
            <w:vAlign w:val="center"/>
          </w:tcPr>
          <w:p>
            <w:pPr>
              <w:jc w:val="center"/>
            </w:pPr>
            <w:r>
              <w:rPr>
                <w:rFonts w:ascii="Times New Roman" w:cs="Times New Roman" w:eastAsia="Times New Roman" w:hAnsi="Times New Roman"/>
                <w:b/>
                <w:bCs/>
                <w:sz w:val="22"/>
                <w:szCs w:val="22"/>
              </w:rPr>
              <w:t xml:space="preserve">So với KH</w:t>
            </w:r>
          </w:p>
        </w:tc>
      </w:tr>
      <w:tr>
        <w:tc>
          <w:tcPr>
            <w:tcW w:type="dxa" w:w="900"/>
            <w:vAlign w:val="center"/>
          </w:tcPr>
          <w:p>
            <w:pPr>
              <w:jc w:val="center"/>
            </w:pPr>
            <w:r>
              <w:rPr>
                <w:rFonts w:ascii="Times New Roman" w:cs="Times New Roman" w:eastAsia="Times New Roman" w:hAnsi="Times New Roman"/>
                <w:b w:val="false"/>
                <w:bCs w:val="false"/>
                <w:sz w:val="22"/>
                <w:szCs w:val="22"/>
              </w:rPr>
              <w:t xml:space="preserve">1</w:t>
            </w:r>
          </w:p>
        </w:tc>
        <w:tc>
          <w:tcPr>
            <w:tcW w:type="dxa" w:w="3550"/>
            <w:vAlign w:val="center"/>
          </w:tcPr>
          <w:p>
            <w:pPr>
              <w:jc w:val="left"/>
            </w:pPr>
            <w:r>
              <w:rPr>
                <w:rFonts w:ascii="Times New Roman" w:cs="Times New Roman" w:eastAsia="Times New Roman" w:hAnsi="Times New Roman"/>
                <w:b w:val="false"/>
                <w:bCs w:val="false"/>
                <w:sz w:val="22"/>
                <w:szCs w:val="22"/>
              </w:rPr>
              <w:t xml:space="preserve">Tuy Phong</w:t>
            </w:r>
          </w:p>
        </w:tc>
        <w:tc>
          <w:tcPr>
            <w:tcW w:type="dxa" w:w="1700"/>
            <w:vAlign w:val="center"/>
          </w:tcPr>
          <w:p>
            <w:pPr>
              <w:jc w:val="center"/>
            </w:pPr>
            <w:r>
              <w:rPr>
                <w:rFonts w:ascii="Times New Roman" w:cs="Times New Roman" w:eastAsia="Times New Roman" w:hAnsi="Times New Roman"/>
                <w:b w:val="false"/>
                <w:bCs w:val="false"/>
                <w:sz w:val="22"/>
                <w:szCs w:val="22"/>
              </w:rPr>
              <w:t xml:space="preserve">38,05%</w:t>
            </w:r>
          </w:p>
        </w:tc>
        <w:tc>
          <w:tcPr>
            <w:tcW w:type="dxa" w:w="1600"/>
            <w:vAlign w:val="center"/>
          </w:tcPr>
          <w:p>
            <w:pPr>
              <w:jc w:val="center"/>
            </w:pPr>
            <w:r>
              <w:rPr>
                <w:rFonts w:ascii="Times New Roman" w:cs="Times New Roman" w:eastAsia="Times New Roman" w:hAnsi="Times New Roman"/>
                <w:b w:val="false"/>
                <w:bCs w:val="false"/>
                <w:sz w:val="22"/>
                <w:szCs w:val="22"/>
              </w:rPr>
              <w:t xml:space="preserve">50,00%</w:t>
            </w:r>
          </w:p>
        </w:tc>
        <w:tc>
          <w:tcPr>
            <w:tcW w:type="dxa" w:w="1600"/>
            <w:vAlign w:val="center"/>
          </w:tcPr>
          <w:p>
            <w:pPr>
              <w:jc w:val="center"/>
            </w:pPr>
            <w:r>
              <w:rPr>
                <w:rFonts w:ascii="Times New Roman" w:cs="Times New Roman" w:eastAsia="Times New Roman" w:hAnsi="Times New Roman"/>
                <w:b w:val="false"/>
                <w:bCs w:val="false"/>
                <w:sz w:val="22"/>
                <w:szCs w:val="22"/>
              </w:rPr>
              <w:t xml:space="preserve">-11,95%</w:t>
            </w:r>
          </w:p>
        </w:tc>
      </w:tr>
      <w:tr>
        <w:tc>
          <w:tcPr>
            <w:tcW w:type="dxa" w:w="900"/>
            <w:vAlign w:val="center"/>
          </w:tcPr>
          <w:p>
            <w:pPr>
              <w:jc w:val="center"/>
            </w:pPr>
            <w:r>
              <w:rPr>
                <w:rFonts w:ascii="Times New Roman" w:cs="Times New Roman" w:eastAsia="Times New Roman" w:hAnsi="Times New Roman"/>
                <w:b w:val="false"/>
                <w:bCs w:val="false"/>
                <w:sz w:val="22"/>
                <w:szCs w:val="22"/>
              </w:rPr>
              <w:t xml:space="preserve">2</w:t>
            </w:r>
          </w:p>
        </w:tc>
        <w:tc>
          <w:tcPr>
            <w:tcW w:type="dxa" w:w="3550"/>
            <w:vAlign w:val="center"/>
          </w:tcPr>
          <w:p>
            <w:pPr>
              <w:jc w:val="left"/>
            </w:pPr>
            <w:r>
              <w:rPr>
                <w:rFonts w:ascii="Times New Roman" w:cs="Times New Roman" w:eastAsia="Times New Roman" w:hAnsi="Times New Roman"/>
                <w:b w:val="false"/>
                <w:bCs w:val="false"/>
                <w:sz w:val="22"/>
                <w:szCs w:val="22"/>
              </w:rPr>
              <w:t xml:space="preserve">Krông Nô</w:t>
            </w:r>
          </w:p>
        </w:tc>
        <w:tc>
          <w:tcPr>
            <w:tcW w:type="dxa" w:w="1700"/>
            <w:vAlign w:val="center"/>
          </w:tcPr>
          <w:p>
            <w:pPr>
              <w:jc w:val="center"/>
            </w:pPr>
            <w:r>
              <w:rPr>
                <w:rFonts w:ascii="Times New Roman" w:cs="Times New Roman" w:eastAsia="Times New Roman" w:hAnsi="Times New Roman"/>
                <w:b w:val="false"/>
                <w:bCs w:val="false"/>
                <w:sz w:val="22"/>
                <w:szCs w:val="22"/>
              </w:rPr>
              <w:t xml:space="preserve">41,21%</w:t>
            </w:r>
          </w:p>
        </w:tc>
        <w:tc>
          <w:tcPr>
            <w:tcW w:type="dxa" w:w="1600"/>
            <w:vAlign w:val="center"/>
          </w:tcPr>
          <w:p>
            <w:pPr>
              <w:jc w:val="center"/>
            </w:pPr>
            <w:r>
              <w:rPr>
                <w:rFonts w:ascii="Times New Roman" w:cs="Times New Roman" w:eastAsia="Times New Roman" w:hAnsi="Times New Roman"/>
                <w:b w:val="false"/>
                <w:bCs w:val="false"/>
                <w:sz w:val="22"/>
                <w:szCs w:val="22"/>
              </w:rPr>
              <w:t xml:space="preserve">52,00%</w:t>
            </w:r>
          </w:p>
        </w:tc>
        <w:tc>
          <w:tcPr>
            <w:tcW w:type="dxa" w:w="1600"/>
            <w:vAlign w:val="center"/>
          </w:tcPr>
          <w:p>
            <w:pPr>
              <w:jc w:val="center"/>
            </w:pPr>
            <w:r>
              <w:rPr>
                <w:rFonts w:ascii="Times New Roman" w:cs="Times New Roman" w:eastAsia="Times New Roman" w:hAnsi="Times New Roman"/>
                <w:b w:val="false"/>
                <w:bCs w:val="false"/>
                <w:sz w:val="22"/>
                <w:szCs w:val="22"/>
              </w:rPr>
              <w:t xml:space="preserve">-10,79%</w:t>
            </w:r>
          </w:p>
        </w:tc>
      </w:tr>
      <w:tr>
        <w:tc>
          <w:tcPr>
            <w:tcW w:type="dxa" w:w="900"/>
            <w:vAlign w:val="center"/>
          </w:tcPr>
          <w:p>
            <w:pPr>
              <w:jc w:val="center"/>
            </w:pPr>
            <w:r>
              <w:rPr>
                <w:rFonts w:ascii="Times New Roman" w:cs="Times New Roman" w:eastAsia="Times New Roman" w:hAnsi="Times New Roman"/>
                <w:b w:val="false"/>
                <w:bCs w:val="false"/>
                <w:sz w:val="22"/>
                <w:szCs w:val="22"/>
              </w:rPr>
              <w:t xml:space="preserve">3</w:t>
            </w:r>
          </w:p>
        </w:tc>
        <w:tc>
          <w:tcPr>
            <w:tcW w:type="dxa" w:w="3550"/>
            <w:vAlign w:val="center"/>
          </w:tcPr>
          <w:p>
            <w:pPr>
              <w:jc w:val="left"/>
            </w:pPr>
            <w:r>
              <w:rPr>
                <w:rFonts w:ascii="Times New Roman" w:cs="Times New Roman" w:eastAsia="Times New Roman" w:hAnsi="Times New Roman"/>
                <w:b w:val="false"/>
                <w:bCs w:val="false"/>
                <w:sz w:val="22"/>
                <w:szCs w:val="22"/>
              </w:rPr>
              <w:t xml:space="preserve">La Gi</w:t>
            </w:r>
          </w:p>
        </w:tc>
        <w:tc>
          <w:tcPr>
            <w:tcW w:type="dxa" w:w="1700"/>
            <w:vAlign w:val="center"/>
          </w:tcPr>
          <w:p>
            <w:pPr>
              <w:jc w:val="center"/>
            </w:pPr>
            <w:r>
              <w:rPr>
                <w:rFonts w:ascii="Times New Roman" w:cs="Times New Roman" w:eastAsia="Times New Roman" w:hAnsi="Times New Roman"/>
                <w:b w:val="false"/>
                <w:bCs w:val="false"/>
                <w:sz w:val="22"/>
                <w:szCs w:val="22"/>
              </w:rPr>
              <w:t xml:space="preserve">45,96%</w:t>
            </w:r>
          </w:p>
        </w:tc>
        <w:tc>
          <w:tcPr>
            <w:tcW w:type="dxa" w:w="1600"/>
            <w:vAlign w:val="center"/>
          </w:tcPr>
          <w:p>
            <w:pPr>
              <w:jc w:val="center"/>
            </w:pPr>
            <w:r>
              <w:rPr>
                <w:rFonts w:ascii="Times New Roman" w:cs="Times New Roman" w:eastAsia="Times New Roman" w:hAnsi="Times New Roman"/>
                <w:b w:val="false"/>
                <w:bCs w:val="false"/>
                <w:sz w:val="22"/>
                <w:szCs w:val="22"/>
              </w:rPr>
              <w:t xml:space="preserve">56,00%</w:t>
            </w:r>
          </w:p>
        </w:tc>
        <w:tc>
          <w:tcPr>
            <w:tcW w:type="dxa" w:w="1600"/>
            <w:vAlign w:val="center"/>
          </w:tcPr>
          <w:p>
            <w:pPr>
              <w:jc w:val="center"/>
            </w:pPr>
            <w:r>
              <w:rPr>
                <w:rFonts w:ascii="Times New Roman" w:cs="Times New Roman" w:eastAsia="Times New Roman" w:hAnsi="Times New Roman"/>
                <w:b w:val="false"/>
                <w:bCs w:val="false"/>
                <w:sz w:val="22"/>
                <w:szCs w:val="22"/>
              </w:rPr>
              <w:t xml:space="preserve">-10,04%</w:t>
            </w:r>
          </w:p>
        </w:tc>
      </w:tr>
      <w:tr>
        <w:tc>
          <w:tcPr>
            <w:tcW w:type="dxa" w:w="900"/>
            <w:vAlign w:val="center"/>
          </w:tcPr>
          <w:p>
            <w:pPr>
              <w:jc w:val="center"/>
            </w:pPr>
            <w:r>
              <w:rPr>
                <w:rFonts w:ascii="Times New Roman" w:cs="Times New Roman" w:eastAsia="Times New Roman" w:hAnsi="Times New Roman"/>
                <w:b w:val="false"/>
                <w:bCs w:val="false"/>
                <w:sz w:val="22"/>
                <w:szCs w:val="22"/>
              </w:rPr>
              <w:t xml:space="preserve">4</w:t>
            </w:r>
          </w:p>
        </w:tc>
        <w:tc>
          <w:tcPr>
            <w:tcW w:type="dxa" w:w="3550"/>
            <w:vAlign w:val="center"/>
          </w:tcPr>
          <w:p>
            <w:pPr>
              <w:jc w:val="left"/>
            </w:pPr>
            <w:r>
              <w:rPr>
                <w:rFonts w:ascii="Times New Roman" w:cs="Times New Roman" w:eastAsia="Times New Roman" w:hAnsi="Times New Roman"/>
                <w:b w:val="false"/>
                <w:bCs w:val="false"/>
                <w:sz w:val="22"/>
                <w:szCs w:val="22"/>
              </w:rPr>
              <w:t xml:space="preserve">Hàm Thuận Bắc</w:t>
            </w:r>
          </w:p>
        </w:tc>
        <w:tc>
          <w:tcPr>
            <w:tcW w:type="dxa" w:w="1700"/>
            <w:vAlign w:val="center"/>
          </w:tcPr>
          <w:p>
            <w:pPr>
              <w:jc w:val="center"/>
            </w:pPr>
            <w:r>
              <w:rPr>
                <w:rFonts w:ascii="Times New Roman" w:cs="Times New Roman" w:eastAsia="Times New Roman" w:hAnsi="Times New Roman"/>
                <w:b w:val="false"/>
                <w:bCs w:val="false"/>
                <w:sz w:val="22"/>
                <w:szCs w:val="22"/>
              </w:rPr>
              <w:t xml:space="preserve">44,58%</w:t>
            </w:r>
          </w:p>
        </w:tc>
        <w:tc>
          <w:tcPr>
            <w:tcW w:type="dxa" w:w="1600"/>
            <w:vAlign w:val="center"/>
          </w:tcPr>
          <w:p>
            <w:pPr>
              <w:jc w:val="center"/>
            </w:pPr>
            <w:r>
              <w:rPr>
                <w:rFonts w:ascii="Times New Roman" w:cs="Times New Roman" w:eastAsia="Times New Roman" w:hAnsi="Times New Roman"/>
                <w:b w:val="false"/>
                <w:bCs w:val="false"/>
                <w:sz w:val="22"/>
                <w:szCs w:val="22"/>
              </w:rPr>
              <w:t xml:space="preserve">54,00%</w:t>
            </w:r>
          </w:p>
        </w:tc>
        <w:tc>
          <w:tcPr>
            <w:tcW w:type="dxa" w:w="1600"/>
            <w:vAlign w:val="center"/>
          </w:tcPr>
          <w:p>
            <w:pPr>
              <w:jc w:val="center"/>
            </w:pPr>
            <w:r>
              <w:rPr>
                <w:rFonts w:ascii="Times New Roman" w:cs="Times New Roman" w:eastAsia="Times New Roman" w:hAnsi="Times New Roman"/>
                <w:b w:val="false"/>
                <w:bCs w:val="false"/>
                <w:sz w:val="22"/>
                <w:szCs w:val="22"/>
              </w:rPr>
              <w:t xml:space="preserve">-9,42%</w:t>
            </w:r>
          </w:p>
        </w:tc>
      </w:tr>
      <w:tr>
        <w:tc>
          <w:tcPr>
            <w:tcW w:type="dxa" w:w="900"/>
            <w:vAlign w:val="center"/>
          </w:tcPr>
          <w:p>
            <w:pPr>
              <w:jc w:val="center"/>
            </w:pPr>
            <w:r>
              <w:rPr>
                <w:rFonts w:ascii="Times New Roman" w:cs="Times New Roman" w:eastAsia="Times New Roman" w:hAnsi="Times New Roman"/>
                <w:b w:val="false"/>
                <w:bCs w:val="false"/>
                <w:sz w:val="22"/>
                <w:szCs w:val="22"/>
              </w:rPr>
              <w:t xml:space="preserve">5</w:t>
            </w:r>
          </w:p>
        </w:tc>
        <w:tc>
          <w:tcPr>
            <w:tcW w:type="dxa" w:w="3550"/>
            <w:vAlign w:val="center"/>
          </w:tcPr>
          <w:p>
            <w:pPr>
              <w:jc w:val="left"/>
            </w:pPr>
            <w:r>
              <w:rPr>
                <w:rFonts w:ascii="Times New Roman" w:cs="Times New Roman" w:eastAsia="Times New Roman" w:hAnsi="Times New Roman"/>
                <w:b w:val="false"/>
                <w:bCs w:val="false"/>
                <w:sz w:val="22"/>
                <w:szCs w:val="22"/>
              </w:rPr>
              <w:t xml:space="preserve">Phan Thiết</w:t>
            </w:r>
          </w:p>
        </w:tc>
        <w:tc>
          <w:tcPr>
            <w:tcW w:type="dxa" w:w="1700"/>
            <w:vAlign w:val="center"/>
          </w:tcPr>
          <w:p>
            <w:pPr>
              <w:jc w:val="center"/>
            </w:pPr>
            <w:r>
              <w:rPr>
                <w:rFonts w:ascii="Times New Roman" w:cs="Times New Roman" w:eastAsia="Times New Roman" w:hAnsi="Times New Roman"/>
                <w:b w:val="false"/>
                <w:bCs w:val="false"/>
                <w:sz w:val="22"/>
                <w:szCs w:val="22"/>
              </w:rPr>
              <w:t xml:space="preserve">48,24%</w:t>
            </w:r>
          </w:p>
        </w:tc>
        <w:tc>
          <w:tcPr>
            <w:tcW w:type="dxa" w:w="1600"/>
            <w:vAlign w:val="center"/>
          </w:tcPr>
          <w:p>
            <w:pPr>
              <w:jc w:val="center"/>
            </w:pPr>
            <w:r>
              <w:rPr>
                <w:rFonts w:ascii="Times New Roman" w:cs="Times New Roman" w:eastAsia="Times New Roman" w:hAnsi="Times New Roman"/>
                <w:b w:val="false"/>
                <w:bCs w:val="false"/>
                <w:sz w:val="22"/>
                <w:szCs w:val="22"/>
              </w:rPr>
              <w:t xml:space="preserve">57,00%</w:t>
            </w:r>
          </w:p>
        </w:tc>
        <w:tc>
          <w:tcPr>
            <w:tcW w:type="dxa" w:w="1600"/>
            <w:vAlign w:val="center"/>
          </w:tcPr>
          <w:p>
            <w:pPr>
              <w:jc w:val="center"/>
            </w:pPr>
            <w:r>
              <w:rPr>
                <w:rFonts w:ascii="Times New Roman" w:cs="Times New Roman" w:eastAsia="Times New Roman" w:hAnsi="Times New Roman"/>
                <w:b w:val="false"/>
                <w:bCs w:val="false"/>
                <w:sz w:val="22"/>
                <w:szCs w:val="22"/>
              </w:rPr>
              <w:t xml:space="preserve">-8,76%</w:t>
            </w:r>
          </w:p>
        </w:tc>
      </w:tr>
    </w:tbl>
    <w:p>
      <w:pPr>
        <w:pStyle w:val="Heading1"/>
        <w:spacing w:after="160" w:before="240"/>
      </w:pPr>
      <w:r>
        <w:rPr>
          <w:rFonts w:ascii="Times New Roman" w:cs="Times New Roman" w:eastAsia="Times New Roman" w:hAnsi="Times New Roman"/>
          <w:b/>
          <w:bCs/>
          <w:sz w:val="28"/>
          <w:szCs w:val="28"/>
        </w:rPr>
        <w:t xml:space="preserve">3. Top 5 Điện lực có tỷ lệ thu qua ngân hàng cao nhất (tháng 8/2026)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550"/>
        <w:gridCol w:w="1700"/>
        <w:gridCol w:w="1600"/>
        <w:gridCol w:w="1600"/>
      </w:tblGrid>
      <w:tr>
        <w:trPr>
          <w:tblHeader/>
        </w:trPr>
        <w:tc>
          <w:tcPr>
            <w:tcW w:type="dxa" w:w="900"/>
            <w:shd w:fill="D9D9D9" w:val="clear"/>
            <w:vAlign w:val="center"/>
          </w:tcPr>
          <w:p>
            <w:pPr>
              <w:jc w:val="center"/>
            </w:pPr>
            <w:r>
              <w:rPr>
                <w:rFonts w:ascii="Times New Roman" w:cs="Times New Roman" w:eastAsia="Times New Roman" w:hAnsi="Times New Roman"/>
                <w:b/>
                <w:bCs/>
                <w:sz w:val="22"/>
                <w:szCs w:val="22"/>
              </w:rPr>
              <w:t xml:space="preserve">Hạng</w:t>
            </w:r>
          </w:p>
        </w:tc>
        <w:tc>
          <w:tcPr>
            <w:tcW w:type="dxa" w:w="3550"/>
            <w:shd w:fill="D9D9D9" w:val="clear"/>
            <w:vAlign w:val="center"/>
          </w:tcPr>
          <w:p>
            <w:pPr>
              <w:jc w:val="center"/>
            </w:pPr>
            <w:r>
              <w:rPr>
                <w:rFonts w:ascii="Times New Roman" w:cs="Times New Roman" w:eastAsia="Times New Roman" w:hAnsi="Times New Roman"/>
                <w:b/>
                <w:bCs/>
                <w:sz w:val="22"/>
                <w:szCs w:val="22"/>
              </w:rPr>
              <w:t xml:space="preserve">Điện lực</w:t>
            </w:r>
          </w:p>
        </w:tc>
        <w:tc>
          <w:tcPr>
            <w:tcW w:type="dxa" w:w="1700"/>
            <w:shd w:fill="D9D9D9" w:val="clear"/>
            <w:vAlign w:val="center"/>
          </w:tcPr>
          <w:p>
            <w:pPr>
              <w:jc w:val="center"/>
            </w:pPr>
            <w:r>
              <w:rPr>
                <w:rFonts w:ascii="Times New Roman" w:cs="Times New Roman" w:eastAsia="Times New Roman" w:hAnsi="Times New Roman"/>
                <w:b/>
                <w:bCs/>
                <w:sz w:val="22"/>
                <w:szCs w:val="22"/>
              </w:rPr>
              <w:t xml:space="preserve">Tỷ lệ T8/2026</w:t>
            </w:r>
          </w:p>
        </w:tc>
        <w:tc>
          <w:tcPr>
            <w:tcW w:type="dxa" w:w="1600"/>
            <w:shd w:fill="D9D9D9" w:val="clear"/>
            <w:vAlign w:val="center"/>
          </w:tcPr>
          <w:p>
            <w:pPr>
              <w:jc w:val="center"/>
            </w:pPr>
            <w:r>
              <w:rPr>
                <w:rFonts w:ascii="Times New Roman" w:cs="Times New Roman" w:eastAsia="Times New Roman" w:hAnsi="Times New Roman"/>
                <w:b/>
                <w:bCs/>
                <w:sz w:val="22"/>
                <w:szCs w:val="22"/>
              </w:rPr>
              <w:t xml:space="preserve">Kế hoạch</w:t>
            </w:r>
          </w:p>
        </w:tc>
        <w:tc>
          <w:tcPr>
            <w:tcW w:type="dxa" w:w="1600"/>
            <w:shd w:fill="D9D9D9" w:val="clear"/>
            <w:vAlign w:val="center"/>
          </w:tcPr>
          <w:p>
            <w:pPr>
              <w:jc w:val="center"/>
            </w:pPr>
            <w:r>
              <w:rPr>
                <w:rFonts w:ascii="Times New Roman" w:cs="Times New Roman" w:eastAsia="Times New Roman" w:hAnsi="Times New Roman"/>
                <w:b/>
                <w:bCs/>
                <w:sz w:val="22"/>
                <w:szCs w:val="22"/>
              </w:rPr>
              <w:t xml:space="preserve">So với KH</w:t>
            </w:r>
          </w:p>
        </w:tc>
      </w:tr>
      <w:tr>
        <w:tc>
          <w:tcPr>
            <w:tcW w:type="dxa" w:w="900"/>
            <w:vAlign w:val="center"/>
          </w:tcPr>
          <w:p>
            <w:pPr>
              <w:jc w:val="center"/>
            </w:pPr>
            <w:r>
              <w:rPr>
                <w:rFonts w:ascii="Times New Roman" w:cs="Times New Roman" w:eastAsia="Times New Roman" w:hAnsi="Times New Roman"/>
                <w:b w:val="false"/>
                <w:bCs w:val="false"/>
                <w:sz w:val="22"/>
                <w:szCs w:val="22"/>
              </w:rPr>
              <w:t xml:space="preserve">1</w:t>
            </w:r>
          </w:p>
        </w:tc>
        <w:tc>
          <w:tcPr>
            <w:tcW w:type="dxa" w:w="3550"/>
            <w:vAlign w:val="center"/>
          </w:tcPr>
          <w:p>
            <w:pPr>
              <w:jc w:val="left"/>
            </w:pPr>
            <w:r>
              <w:rPr>
                <w:rFonts w:ascii="Times New Roman" w:cs="Times New Roman" w:eastAsia="Times New Roman" w:hAnsi="Times New Roman"/>
                <w:b w:val="false"/>
                <w:bCs w:val="false"/>
                <w:sz w:val="22"/>
                <w:szCs w:val="22"/>
              </w:rPr>
              <w:t xml:space="preserve">Trường Sa</w:t>
            </w:r>
          </w:p>
        </w:tc>
        <w:tc>
          <w:tcPr>
            <w:tcW w:type="dxa" w:w="1700"/>
            <w:vAlign w:val="center"/>
          </w:tcPr>
          <w:p>
            <w:pPr>
              <w:jc w:val="center"/>
            </w:pPr>
            <w:r>
              <w:rPr>
                <w:rFonts w:ascii="Times New Roman" w:cs="Times New Roman" w:eastAsia="Times New Roman" w:hAnsi="Times New Roman"/>
                <w:b w:val="false"/>
                <w:bCs w:val="false"/>
                <w:sz w:val="22"/>
                <w:szCs w:val="22"/>
              </w:rPr>
              <w:t xml:space="preserve">100,00%</w:t>
            </w:r>
          </w:p>
        </w:tc>
        <w:tc>
          <w:tcPr>
            <w:tcW w:type="dxa" w:w="1600"/>
            <w:vAlign w:val="center"/>
          </w:tcPr>
          <w:p>
            <w:pPr>
              <w:jc w:val="center"/>
            </w:pPr>
            <w:r>
              <w:rPr>
                <w:rFonts w:ascii="Times New Roman" w:cs="Times New Roman" w:eastAsia="Times New Roman" w:hAnsi="Times New Roman"/>
                <w:b w:val="false"/>
                <w:bCs w:val="false"/>
                <w:sz w:val="22"/>
                <w:szCs w:val="22"/>
              </w:rPr>
              <w:t xml:space="preserve">100,00%</w:t>
            </w:r>
          </w:p>
        </w:tc>
        <w:tc>
          <w:tcPr>
            <w:tcW w:type="dxa" w:w="1600"/>
            <w:vAlign w:val="center"/>
          </w:tcPr>
          <w:p>
            <w:pPr>
              <w:jc w:val="center"/>
            </w:pPr>
            <w:r>
              <w:rPr>
                <w:rFonts w:ascii="Times New Roman" w:cs="Times New Roman" w:eastAsia="Times New Roman" w:hAnsi="Times New Roman"/>
                <w:b w:val="false"/>
                <w:bCs w:val="false"/>
                <w:sz w:val="22"/>
                <w:szCs w:val="22"/>
              </w:rPr>
              <w:t xml:space="preserve">0,00%</w:t>
            </w:r>
          </w:p>
        </w:tc>
      </w:tr>
      <w:tr>
        <w:tc>
          <w:tcPr>
            <w:tcW w:type="dxa" w:w="900"/>
            <w:vAlign w:val="center"/>
          </w:tcPr>
          <w:p>
            <w:pPr>
              <w:jc w:val="center"/>
            </w:pPr>
            <w:r>
              <w:rPr>
                <w:rFonts w:ascii="Times New Roman" w:cs="Times New Roman" w:eastAsia="Times New Roman" w:hAnsi="Times New Roman"/>
                <w:b w:val="false"/>
                <w:bCs w:val="false"/>
                <w:sz w:val="22"/>
                <w:szCs w:val="22"/>
              </w:rPr>
              <w:t xml:space="preserve">2</w:t>
            </w:r>
          </w:p>
        </w:tc>
        <w:tc>
          <w:tcPr>
            <w:tcW w:type="dxa" w:w="3550"/>
            <w:vAlign w:val="center"/>
          </w:tcPr>
          <w:p>
            <w:pPr>
              <w:jc w:val="left"/>
            </w:pPr>
            <w:r>
              <w:rPr>
                <w:rFonts w:ascii="Times New Roman" w:cs="Times New Roman" w:eastAsia="Times New Roman" w:hAnsi="Times New Roman"/>
                <w:b w:val="false"/>
                <w:bCs w:val="false"/>
                <w:sz w:val="22"/>
                <w:szCs w:val="22"/>
              </w:rPr>
              <w:t xml:space="preserve">Lâm Hà</w:t>
            </w:r>
          </w:p>
        </w:tc>
        <w:tc>
          <w:tcPr>
            <w:tcW w:type="dxa" w:w="1700"/>
            <w:vAlign w:val="center"/>
          </w:tcPr>
          <w:p>
            <w:pPr>
              <w:jc w:val="center"/>
            </w:pPr>
            <w:r>
              <w:rPr>
                <w:rFonts w:ascii="Times New Roman" w:cs="Times New Roman" w:eastAsia="Times New Roman" w:hAnsi="Times New Roman"/>
                <w:b w:val="false"/>
                <w:bCs w:val="false"/>
                <w:sz w:val="22"/>
                <w:szCs w:val="22"/>
              </w:rPr>
              <w:t xml:space="preserve">71,68%</w:t>
            </w:r>
          </w:p>
        </w:tc>
        <w:tc>
          <w:tcPr>
            <w:tcW w:type="dxa" w:w="1600"/>
            <w:vAlign w:val="center"/>
          </w:tcPr>
          <w:p>
            <w:pPr>
              <w:jc w:val="center"/>
            </w:pPr>
            <w:r>
              <w:rPr>
                <w:rFonts w:ascii="Times New Roman" w:cs="Times New Roman" w:eastAsia="Times New Roman" w:hAnsi="Times New Roman"/>
                <w:b w:val="false"/>
                <w:bCs w:val="false"/>
                <w:sz w:val="22"/>
                <w:szCs w:val="22"/>
              </w:rPr>
              <w:t xml:space="preserve">73,00%</w:t>
            </w:r>
          </w:p>
        </w:tc>
        <w:tc>
          <w:tcPr>
            <w:tcW w:type="dxa" w:w="1600"/>
            <w:vAlign w:val="center"/>
          </w:tcPr>
          <w:p>
            <w:pPr>
              <w:jc w:val="center"/>
            </w:pPr>
            <w:r>
              <w:rPr>
                <w:rFonts w:ascii="Times New Roman" w:cs="Times New Roman" w:eastAsia="Times New Roman" w:hAnsi="Times New Roman"/>
                <w:b w:val="false"/>
                <w:bCs w:val="false"/>
                <w:sz w:val="22"/>
                <w:szCs w:val="22"/>
              </w:rPr>
              <w:t xml:space="preserve">-1,32%</w:t>
            </w:r>
          </w:p>
        </w:tc>
      </w:tr>
      <w:tr>
        <w:tc>
          <w:tcPr>
            <w:tcW w:type="dxa" w:w="900"/>
            <w:vAlign w:val="center"/>
          </w:tcPr>
          <w:p>
            <w:pPr>
              <w:jc w:val="center"/>
            </w:pPr>
            <w:r>
              <w:rPr>
                <w:rFonts w:ascii="Times New Roman" w:cs="Times New Roman" w:eastAsia="Times New Roman" w:hAnsi="Times New Roman"/>
                <w:b w:val="false"/>
                <w:bCs w:val="false"/>
                <w:sz w:val="22"/>
                <w:szCs w:val="22"/>
              </w:rPr>
              <w:t xml:space="preserve">3</w:t>
            </w:r>
          </w:p>
        </w:tc>
        <w:tc>
          <w:tcPr>
            <w:tcW w:type="dxa" w:w="3550"/>
            <w:vAlign w:val="center"/>
          </w:tcPr>
          <w:p>
            <w:pPr>
              <w:jc w:val="left"/>
            </w:pPr>
            <w:r>
              <w:rPr>
                <w:rFonts w:ascii="Times New Roman" w:cs="Times New Roman" w:eastAsia="Times New Roman" w:hAnsi="Times New Roman"/>
                <w:b w:val="false"/>
                <w:bCs w:val="false"/>
                <w:sz w:val="22"/>
                <w:szCs w:val="22"/>
              </w:rPr>
              <w:t xml:space="preserve">Di Linh</w:t>
            </w:r>
          </w:p>
        </w:tc>
        <w:tc>
          <w:tcPr>
            <w:tcW w:type="dxa" w:w="1700"/>
            <w:vAlign w:val="center"/>
          </w:tcPr>
          <w:p>
            <w:pPr>
              <w:jc w:val="center"/>
            </w:pPr>
            <w:r>
              <w:rPr>
                <w:rFonts w:ascii="Times New Roman" w:cs="Times New Roman" w:eastAsia="Times New Roman" w:hAnsi="Times New Roman"/>
                <w:b w:val="false"/>
                <w:bCs w:val="false"/>
                <w:sz w:val="22"/>
                <w:szCs w:val="22"/>
              </w:rPr>
              <w:t xml:space="preserve">68,25%</w:t>
            </w:r>
          </w:p>
        </w:tc>
        <w:tc>
          <w:tcPr>
            <w:tcW w:type="dxa" w:w="1600"/>
            <w:vAlign w:val="center"/>
          </w:tcPr>
          <w:p>
            <w:pPr>
              <w:jc w:val="center"/>
            </w:pPr>
            <w:r>
              <w:rPr>
                <w:rFonts w:ascii="Times New Roman" w:cs="Times New Roman" w:eastAsia="Times New Roman" w:hAnsi="Times New Roman"/>
                <w:b w:val="false"/>
                <w:bCs w:val="false"/>
                <w:sz w:val="22"/>
                <w:szCs w:val="22"/>
              </w:rPr>
              <w:t xml:space="preserve">71,00%</w:t>
            </w:r>
          </w:p>
        </w:tc>
        <w:tc>
          <w:tcPr>
            <w:tcW w:type="dxa" w:w="1600"/>
            <w:vAlign w:val="center"/>
          </w:tcPr>
          <w:p>
            <w:pPr>
              <w:jc w:val="center"/>
            </w:pPr>
            <w:r>
              <w:rPr>
                <w:rFonts w:ascii="Times New Roman" w:cs="Times New Roman" w:eastAsia="Times New Roman" w:hAnsi="Times New Roman"/>
                <w:b w:val="false"/>
                <w:bCs w:val="false"/>
                <w:sz w:val="22"/>
                <w:szCs w:val="22"/>
              </w:rPr>
              <w:t xml:space="preserve">-2,75%</w:t>
            </w:r>
          </w:p>
        </w:tc>
      </w:tr>
      <w:tr>
        <w:tc>
          <w:tcPr>
            <w:tcW w:type="dxa" w:w="900"/>
            <w:vAlign w:val="center"/>
          </w:tcPr>
          <w:p>
            <w:pPr>
              <w:jc w:val="center"/>
            </w:pPr>
            <w:r>
              <w:rPr>
                <w:rFonts w:ascii="Times New Roman" w:cs="Times New Roman" w:eastAsia="Times New Roman" w:hAnsi="Times New Roman"/>
                <w:b w:val="false"/>
                <w:bCs w:val="false"/>
                <w:sz w:val="22"/>
                <w:szCs w:val="22"/>
              </w:rPr>
              <w:t xml:space="preserve">4</w:t>
            </w:r>
          </w:p>
        </w:tc>
        <w:tc>
          <w:tcPr>
            <w:tcW w:type="dxa" w:w="3550"/>
            <w:vAlign w:val="center"/>
          </w:tcPr>
          <w:p>
            <w:pPr>
              <w:jc w:val="left"/>
            </w:pPr>
            <w:r>
              <w:rPr>
                <w:rFonts w:ascii="Times New Roman" w:cs="Times New Roman" w:eastAsia="Times New Roman" w:hAnsi="Times New Roman"/>
                <w:b w:val="false"/>
                <w:bCs w:val="false"/>
                <w:sz w:val="22"/>
                <w:szCs w:val="22"/>
              </w:rPr>
              <w:t xml:space="preserve">Đạ Huoai</w:t>
            </w:r>
          </w:p>
        </w:tc>
        <w:tc>
          <w:tcPr>
            <w:tcW w:type="dxa" w:w="1700"/>
            <w:vAlign w:val="center"/>
          </w:tcPr>
          <w:p>
            <w:pPr>
              <w:jc w:val="center"/>
            </w:pPr>
            <w:r>
              <w:rPr>
                <w:rFonts w:ascii="Times New Roman" w:cs="Times New Roman" w:eastAsia="Times New Roman" w:hAnsi="Times New Roman"/>
                <w:b w:val="false"/>
                <w:bCs w:val="false"/>
                <w:sz w:val="22"/>
                <w:szCs w:val="22"/>
              </w:rPr>
              <w:t xml:space="preserve">68,10%</w:t>
            </w:r>
          </w:p>
        </w:tc>
        <w:tc>
          <w:tcPr>
            <w:tcW w:type="dxa" w:w="1600"/>
            <w:vAlign w:val="center"/>
          </w:tcPr>
          <w:p>
            <w:pPr>
              <w:jc w:val="center"/>
            </w:pPr>
            <w:r>
              <w:rPr>
                <w:rFonts w:ascii="Times New Roman" w:cs="Times New Roman" w:eastAsia="Times New Roman" w:hAnsi="Times New Roman"/>
                <w:b w:val="false"/>
                <w:bCs w:val="false"/>
                <w:sz w:val="22"/>
                <w:szCs w:val="22"/>
              </w:rPr>
              <w:t xml:space="preserve">70,00%</w:t>
            </w:r>
          </w:p>
        </w:tc>
        <w:tc>
          <w:tcPr>
            <w:tcW w:type="dxa" w:w="1600"/>
            <w:vAlign w:val="center"/>
          </w:tcPr>
          <w:p>
            <w:pPr>
              <w:jc w:val="center"/>
            </w:pPr>
            <w:r>
              <w:rPr>
                <w:rFonts w:ascii="Times New Roman" w:cs="Times New Roman" w:eastAsia="Times New Roman" w:hAnsi="Times New Roman"/>
                <w:b w:val="false"/>
                <w:bCs w:val="false"/>
                <w:sz w:val="22"/>
                <w:szCs w:val="22"/>
              </w:rPr>
              <w:t xml:space="preserve">-1,90%</w:t>
            </w:r>
          </w:p>
        </w:tc>
      </w:tr>
      <w:tr>
        <w:tc>
          <w:tcPr>
            <w:tcW w:type="dxa" w:w="900"/>
            <w:vAlign w:val="center"/>
          </w:tcPr>
          <w:p>
            <w:pPr>
              <w:jc w:val="center"/>
            </w:pPr>
            <w:r>
              <w:rPr>
                <w:rFonts w:ascii="Times New Roman" w:cs="Times New Roman" w:eastAsia="Times New Roman" w:hAnsi="Times New Roman"/>
                <w:b w:val="false"/>
                <w:bCs w:val="false"/>
                <w:sz w:val="22"/>
                <w:szCs w:val="22"/>
              </w:rPr>
              <w:t xml:space="preserve">5</w:t>
            </w:r>
          </w:p>
        </w:tc>
        <w:tc>
          <w:tcPr>
            <w:tcW w:type="dxa" w:w="3550"/>
            <w:vAlign w:val="center"/>
          </w:tcPr>
          <w:p>
            <w:pPr>
              <w:jc w:val="left"/>
            </w:pPr>
            <w:r>
              <w:rPr>
                <w:rFonts w:ascii="Times New Roman" w:cs="Times New Roman" w:eastAsia="Times New Roman" w:hAnsi="Times New Roman"/>
                <w:b w:val="false"/>
                <w:bCs w:val="false"/>
                <w:sz w:val="22"/>
                <w:szCs w:val="22"/>
              </w:rPr>
              <w:t xml:space="preserve">Đam Rông</w:t>
            </w:r>
          </w:p>
        </w:tc>
        <w:tc>
          <w:tcPr>
            <w:tcW w:type="dxa" w:w="1700"/>
            <w:vAlign w:val="center"/>
          </w:tcPr>
          <w:p>
            <w:pPr>
              <w:jc w:val="center"/>
            </w:pPr>
            <w:r>
              <w:rPr>
                <w:rFonts w:ascii="Times New Roman" w:cs="Times New Roman" w:eastAsia="Times New Roman" w:hAnsi="Times New Roman"/>
                <w:b w:val="false"/>
                <w:bCs w:val="false"/>
                <w:sz w:val="22"/>
                <w:szCs w:val="22"/>
              </w:rPr>
              <w:t xml:space="preserve">67,63%</w:t>
            </w:r>
          </w:p>
        </w:tc>
        <w:tc>
          <w:tcPr>
            <w:tcW w:type="dxa" w:w="1600"/>
            <w:vAlign w:val="center"/>
          </w:tcPr>
          <w:p>
            <w:pPr>
              <w:jc w:val="center"/>
            </w:pPr>
            <w:r>
              <w:rPr>
                <w:rFonts w:ascii="Times New Roman" w:cs="Times New Roman" w:eastAsia="Times New Roman" w:hAnsi="Times New Roman"/>
                <w:b w:val="false"/>
                <w:bCs w:val="false"/>
                <w:sz w:val="22"/>
                <w:szCs w:val="22"/>
              </w:rPr>
              <w:t xml:space="preserve">69,00%</w:t>
            </w:r>
          </w:p>
        </w:tc>
        <w:tc>
          <w:tcPr>
            <w:tcW w:type="dxa" w:w="1600"/>
            <w:vAlign w:val="center"/>
          </w:tcPr>
          <w:p>
            <w:pPr>
              <w:jc w:val="center"/>
            </w:pPr>
            <w:r>
              <w:rPr>
                <w:rFonts w:ascii="Times New Roman" w:cs="Times New Roman" w:eastAsia="Times New Roman" w:hAnsi="Times New Roman"/>
                <w:b w:val="false"/>
                <w:bCs w:val="false"/>
                <w:sz w:val="22"/>
                <w:szCs w:val="22"/>
              </w:rPr>
              <w:t xml:space="preserve">-1,37%</w:t>
            </w:r>
          </w:p>
        </w:tc>
      </w:tr>
    </w:tbl>
    <w:p>
      <w:pPr>
        <w:spacing w:after="160" w:line="360"/>
        <w:jc w:val="both"/>
      </w:pPr>
      <w:r>
        <w:rPr>
          <w:rFonts w:ascii="Times New Roman" w:cs="Times New Roman" w:eastAsia="Times New Roman" w:hAnsi="Times New Roman"/>
          <w:b w:val="false"/>
          <w:bCs w:val="false"/>
          <w:i w:val="false"/>
          <w:iCs w:val="false"/>
          <w:sz w:val="26"/>
          <w:szCs w:val="26"/>
        </w:rPr>
        <w:t xml:space="preserve">Đáng chú ý, đây đều là các đơn vị thuộc khu vực Lâm Đồng (trừ Trường Sa), cho thấy mặt bằng chung khu vực Lâm Đồng có tỷ lệ thu qua ngân hàng tốt hơn khu vực Bình Thuận và Đắk Nông.</w:t>
      </w:r>
    </w:p>
    <w:p>
      <w:pPr>
        <w:pStyle w:val="Heading1"/>
        <w:spacing w:after="160" w:before="240"/>
      </w:pPr>
      <w:r>
        <w:rPr>
          <w:rFonts w:ascii="Times New Roman" w:cs="Times New Roman" w:eastAsia="Times New Roman" w:hAnsi="Times New Roman"/>
          <w:b/>
          <w:bCs/>
          <w:sz w:val="28"/>
          <w:szCs w:val="28"/>
        </w:rPr>
        <w:t xml:space="preserve">4. Top 5 Điện lực có tỷ lệ thu qua ngân hàng thấp nhất (tháng 8/2026)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550"/>
        <w:gridCol w:w="1700"/>
        <w:gridCol w:w="1600"/>
        <w:gridCol w:w="1600"/>
      </w:tblGrid>
      <w:tr>
        <w:trPr>
          <w:tblHeader/>
        </w:trPr>
        <w:tc>
          <w:tcPr>
            <w:tcW w:type="dxa" w:w="900"/>
            <w:shd w:fill="D9D9D9" w:val="clear"/>
            <w:vAlign w:val="center"/>
          </w:tcPr>
          <w:p>
            <w:pPr>
              <w:jc w:val="center"/>
            </w:pPr>
            <w:r>
              <w:rPr>
                <w:rFonts w:ascii="Times New Roman" w:cs="Times New Roman" w:eastAsia="Times New Roman" w:hAnsi="Times New Roman"/>
                <w:b/>
                <w:bCs/>
                <w:sz w:val="22"/>
                <w:szCs w:val="22"/>
              </w:rPr>
              <w:t xml:space="preserve">Hạng</w:t>
            </w:r>
          </w:p>
        </w:tc>
        <w:tc>
          <w:tcPr>
            <w:tcW w:type="dxa" w:w="3550"/>
            <w:shd w:fill="D9D9D9" w:val="clear"/>
            <w:vAlign w:val="center"/>
          </w:tcPr>
          <w:p>
            <w:pPr>
              <w:jc w:val="center"/>
            </w:pPr>
            <w:r>
              <w:rPr>
                <w:rFonts w:ascii="Times New Roman" w:cs="Times New Roman" w:eastAsia="Times New Roman" w:hAnsi="Times New Roman"/>
                <w:b/>
                <w:bCs/>
                <w:sz w:val="22"/>
                <w:szCs w:val="22"/>
              </w:rPr>
              <w:t xml:space="preserve">Điện lực</w:t>
            </w:r>
          </w:p>
        </w:tc>
        <w:tc>
          <w:tcPr>
            <w:tcW w:type="dxa" w:w="1700"/>
            <w:shd w:fill="D9D9D9" w:val="clear"/>
            <w:vAlign w:val="center"/>
          </w:tcPr>
          <w:p>
            <w:pPr>
              <w:jc w:val="center"/>
            </w:pPr>
            <w:r>
              <w:rPr>
                <w:rFonts w:ascii="Times New Roman" w:cs="Times New Roman" w:eastAsia="Times New Roman" w:hAnsi="Times New Roman"/>
                <w:b/>
                <w:bCs/>
                <w:sz w:val="22"/>
                <w:szCs w:val="22"/>
              </w:rPr>
              <w:t xml:space="preserve">Tỷ lệ T8/2026</w:t>
            </w:r>
          </w:p>
        </w:tc>
        <w:tc>
          <w:tcPr>
            <w:tcW w:type="dxa" w:w="1600"/>
            <w:shd w:fill="D9D9D9" w:val="clear"/>
            <w:vAlign w:val="center"/>
          </w:tcPr>
          <w:p>
            <w:pPr>
              <w:jc w:val="center"/>
            </w:pPr>
            <w:r>
              <w:rPr>
                <w:rFonts w:ascii="Times New Roman" w:cs="Times New Roman" w:eastAsia="Times New Roman" w:hAnsi="Times New Roman"/>
                <w:b/>
                <w:bCs/>
                <w:sz w:val="22"/>
                <w:szCs w:val="22"/>
              </w:rPr>
              <w:t xml:space="preserve">Kế hoạch</w:t>
            </w:r>
          </w:p>
        </w:tc>
        <w:tc>
          <w:tcPr>
            <w:tcW w:type="dxa" w:w="1600"/>
            <w:shd w:fill="D9D9D9" w:val="clear"/>
            <w:vAlign w:val="center"/>
          </w:tcPr>
          <w:p>
            <w:pPr>
              <w:jc w:val="center"/>
            </w:pPr>
            <w:r>
              <w:rPr>
                <w:rFonts w:ascii="Times New Roman" w:cs="Times New Roman" w:eastAsia="Times New Roman" w:hAnsi="Times New Roman"/>
                <w:b/>
                <w:bCs/>
                <w:sz w:val="22"/>
                <w:szCs w:val="22"/>
              </w:rPr>
              <w:t xml:space="preserve">So với KH</w:t>
            </w:r>
          </w:p>
        </w:tc>
      </w:tr>
      <w:tr>
        <w:tc>
          <w:tcPr>
            <w:tcW w:type="dxa" w:w="900"/>
            <w:vAlign w:val="center"/>
          </w:tcPr>
          <w:p>
            <w:pPr>
              <w:jc w:val="center"/>
            </w:pPr>
            <w:r>
              <w:rPr>
                <w:rFonts w:ascii="Times New Roman" w:cs="Times New Roman" w:eastAsia="Times New Roman" w:hAnsi="Times New Roman"/>
                <w:b w:val="false"/>
                <w:bCs w:val="false"/>
                <w:sz w:val="22"/>
                <w:szCs w:val="22"/>
              </w:rPr>
              <w:t xml:space="preserve">1</w:t>
            </w:r>
          </w:p>
        </w:tc>
        <w:tc>
          <w:tcPr>
            <w:tcW w:type="dxa" w:w="3550"/>
            <w:vAlign w:val="center"/>
          </w:tcPr>
          <w:p>
            <w:pPr>
              <w:jc w:val="left"/>
            </w:pPr>
            <w:r>
              <w:rPr>
                <w:rFonts w:ascii="Times New Roman" w:cs="Times New Roman" w:eastAsia="Times New Roman" w:hAnsi="Times New Roman"/>
                <w:b w:val="false"/>
                <w:bCs w:val="false"/>
                <w:sz w:val="22"/>
                <w:szCs w:val="22"/>
              </w:rPr>
              <w:t xml:space="preserve">Tuy Phong</w:t>
            </w:r>
          </w:p>
        </w:tc>
        <w:tc>
          <w:tcPr>
            <w:tcW w:type="dxa" w:w="1700"/>
            <w:vAlign w:val="center"/>
          </w:tcPr>
          <w:p>
            <w:pPr>
              <w:jc w:val="center"/>
            </w:pPr>
            <w:r>
              <w:rPr>
                <w:rFonts w:ascii="Times New Roman" w:cs="Times New Roman" w:eastAsia="Times New Roman" w:hAnsi="Times New Roman"/>
                <w:b w:val="false"/>
                <w:bCs w:val="false"/>
                <w:sz w:val="22"/>
                <w:szCs w:val="22"/>
              </w:rPr>
              <w:t xml:space="preserve">38,05%</w:t>
            </w:r>
          </w:p>
        </w:tc>
        <w:tc>
          <w:tcPr>
            <w:tcW w:type="dxa" w:w="1600"/>
            <w:vAlign w:val="center"/>
          </w:tcPr>
          <w:p>
            <w:pPr>
              <w:jc w:val="center"/>
            </w:pPr>
            <w:r>
              <w:rPr>
                <w:rFonts w:ascii="Times New Roman" w:cs="Times New Roman" w:eastAsia="Times New Roman" w:hAnsi="Times New Roman"/>
                <w:b w:val="false"/>
                <w:bCs w:val="false"/>
                <w:sz w:val="22"/>
                <w:szCs w:val="22"/>
              </w:rPr>
              <w:t xml:space="preserve">50,00%</w:t>
            </w:r>
          </w:p>
        </w:tc>
        <w:tc>
          <w:tcPr>
            <w:tcW w:type="dxa" w:w="1600"/>
            <w:vAlign w:val="center"/>
          </w:tcPr>
          <w:p>
            <w:pPr>
              <w:jc w:val="center"/>
            </w:pPr>
            <w:r>
              <w:rPr>
                <w:rFonts w:ascii="Times New Roman" w:cs="Times New Roman" w:eastAsia="Times New Roman" w:hAnsi="Times New Roman"/>
                <w:b w:val="false"/>
                <w:bCs w:val="false"/>
                <w:sz w:val="22"/>
                <w:szCs w:val="22"/>
              </w:rPr>
              <w:t xml:space="preserve">-11,95%</w:t>
            </w:r>
          </w:p>
        </w:tc>
      </w:tr>
      <w:tr>
        <w:tc>
          <w:tcPr>
            <w:tcW w:type="dxa" w:w="900"/>
            <w:vAlign w:val="center"/>
          </w:tcPr>
          <w:p>
            <w:pPr>
              <w:jc w:val="center"/>
            </w:pPr>
            <w:r>
              <w:rPr>
                <w:rFonts w:ascii="Times New Roman" w:cs="Times New Roman" w:eastAsia="Times New Roman" w:hAnsi="Times New Roman"/>
                <w:b w:val="false"/>
                <w:bCs w:val="false"/>
                <w:sz w:val="22"/>
                <w:szCs w:val="22"/>
              </w:rPr>
              <w:t xml:space="preserve">2</w:t>
            </w:r>
          </w:p>
        </w:tc>
        <w:tc>
          <w:tcPr>
            <w:tcW w:type="dxa" w:w="3550"/>
            <w:vAlign w:val="center"/>
          </w:tcPr>
          <w:p>
            <w:pPr>
              <w:jc w:val="left"/>
            </w:pPr>
            <w:r>
              <w:rPr>
                <w:rFonts w:ascii="Times New Roman" w:cs="Times New Roman" w:eastAsia="Times New Roman" w:hAnsi="Times New Roman"/>
                <w:b w:val="false"/>
                <w:bCs w:val="false"/>
                <w:sz w:val="22"/>
                <w:szCs w:val="22"/>
              </w:rPr>
              <w:t xml:space="preserve">Krông Nô</w:t>
            </w:r>
          </w:p>
        </w:tc>
        <w:tc>
          <w:tcPr>
            <w:tcW w:type="dxa" w:w="1700"/>
            <w:vAlign w:val="center"/>
          </w:tcPr>
          <w:p>
            <w:pPr>
              <w:jc w:val="center"/>
            </w:pPr>
            <w:r>
              <w:rPr>
                <w:rFonts w:ascii="Times New Roman" w:cs="Times New Roman" w:eastAsia="Times New Roman" w:hAnsi="Times New Roman"/>
                <w:b w:val="false"/>
                <w:bCs w:val="false"/>
                <w:sz w:val="22"/>
                <w:szCs w:val="22"/>
              </w:rPr>
              <w:t xml:space="preserve">41,21%</w:t>
            </w:r>
          </w:p>
        </w:tc>
        <w:tc>
          <w:tcPr>
            <w:tcW w:type="dxa" w:w="1600"/>
            <w:vAlign w:val="center"/>
          </w:tcPr>
          <w:p>
            <w:pPr>
              <w:jc w:val="center"/>
            </w:pPr>
            <w:r>
              <w:rPr>
                <w:rFonts w:ascii="Times New Roman" w:cs="Times New Roman" w:eastAsia="Times New Roman" w:hAnsi="Times New Roman"/>
                <w:b w:val="false"/>
                <w:bCs w:val="false"/>
                <w:sz w:val="22"/>
                <w:szCs w:val="22"/>
              </w:rPr>
              <w:t xml:space="preserve">52,00%</w:t>
            </w:r>
          </w:p>
        </w:tc>
        <w:tc>
          <w:tcPr>
            <w:tcW w:type="dxa" w:w="1600"/>
            <w:vAlign w:val="center"/>
          </w:tcPr>
          <w:p>
            <w:pPr>
              <w:jc w:val="center"/>
            </w:pPr>
            <w:r>
              <w:rPr>
                <w:rFonts w:ascii="Times New Roman" w:cs="Times New Roman" w:eastAsia="Times New Roman" w:hAnsi="Times New Roman"/>
                <w:b w:val="false"/>
                <w:bCs w:val="false"/>
                <w:sz w:val="22"/>
                <w:szCs w:val="22"/>
              </w:rPr>
              <w:t xml:space="preserve">-10,79%</w:t>
            </w:r>
          </w:p>
        </w:tc>
      </w:tr>
      <w:tr>
        <w:tc>
          <w:tcPr>
            <w:tcW w:type="dxa" w:w="900"/>
            <w:vAlign w:val="center"/>
          </w:tcPr>
          <w:p>
            <w:pPr>
              <w:jc w:val="center"/>
            </w:pPr>
            <w:r>
              <w:rPr>
                <w:rFonts w:ascii="Times New Roman" w:cs="Times New Roman" w:eastAsia="Times New Roman" w:hAnsi="Times New Roman"/>
                <w:b w:val="false"/>
                <w:bCs w:val="false"/>
                <w:sz w:val="22"/>
                <w:szCs w:val="22"/>
              </w:rPr>
              <w:t xml:space="preserve">3</w:t>
            </w:r>
          </w:p>
        </w:tc>
        <w:tc>
          <w:tcPr>
            <w:tcW w:type="dxa" w:w="3550"/>
            <w:vAlign w:val="center"/>
          </w:tcPr>
          <w:p>
            <w:pPr>
              <w:jc w:val="left"/>
            </w:pPr>
            <w:r>
              <w:rPr>
                <w:rFonts w:ascii="Times New Roman" w:cs="Times New Roman" w:eastAsia="Times New Roman" w:hAnsi="Times New Roman"/>
                <w:b w:val="false"/>
                <w:bCs w:val="false"/>
                <w:sz w:val="22"/>
                <w:szCs w:val="22"/>
              </w:rPr>
              <w:t xml:space="preserve">Đắk Mil</w:t>
            </w:r>
          </w:p>
        </w:tc>
        <w:tc>
          <w:tcPr>
            <w:tcW w:type="dxa" w:w="1700"/>
            <w:vAlign w:val="center"/>
          </w:tcPr>
          <w:p>
            <w:pPr>
              <w:jc w:val="center"/>
            </w:pPr>
            <w:r>
              <w:rPr>
                <w:rFonts w:ascii="Times New Roman" w:cs="Times New Roman" w:eastAsia="Times New Roman" w:hAnsi="Times New Roman"/>
                <w:b w:val="false"/>
                <w:bCs w:val="false"/>
                <w:sz w:val="22"/>
                <w:szCs w:val="22"/>
              </w:rPr>
              <w:t xml:space="preserve">44,49%</w:t>
            </w:r>
          </w:p>
        </w:tc>
        <w:tc>
          <w:tcPr>
            <w:tcW w:type="dxa" w:w="1600"/>
            <w:vAlign w:val="center"/>
          </w:tcPr>
          <w:p>
            <w:pPr>
              <w:jc w:val="center"/>
            </w:pPr>
            <w:r>
              <w:rPr>
                <w:rFonts w:ascii="Times New Roman" w:cs="Times New Roman" w:eastAsia="Times New Roman" w:hAnsi="Times New Roman"/>
                <w:b w:val="false"/>
                <w:bCs w:val="false"/>
                <w:sz w:val="22"/>
                <w:szCs w:val="22"/>
              </w:rPr>
              <w:t xml:space="preserve">53,00%</w:t>
            </w:r>
          </w:p>
        </w:tc>
        <w:tc>
          <w:tcPr>
            <w:tcW w:type="dxa" w:w="1600"/>
            <w:vAlign w:val="center"/>
          </w:tcPr>
          <w:p>
            <w:pPr>
              <w:jc w:val="center"/>
            </w:pPr>
            <w:r>
              <w:rPr>
                <w:rFonts w:ascii="Times New Roman" w:cs="Times New Roman" w:eastAsia="Times New Roman" w:hAnsi="Times New Roman"/>
                <w:b w:val="false"/>
                <w:bCs w:val="false"/>
                <w:sz w:val="22"/>
                <w:szCs w:val="22"/>
              </w:rPr>
              <w:t xml:space="preserve">-8,51%</w:t>
            </w:r>
          </w:p>
        </w:tc>
      </w:tr>
      <w:tr>
        <w:tc>
          <w:tcPr>
            <w:tcW w:type="dxa" w:w="900"/>
            <w:vAlign w:val="center"/>
          </w:tcPr>
          <w:p>
            <w:pPr>
              <w:jc w:val="center"/>
            </w:pPr>
            <w:r>
              <w:rPr>
                <w:rFonts w:ascii="Times New Roman" w:cs="Times New Roman" w:eastAsia="Times New Roman" w:hAnsi="Times New Roman"/>
                <w:b w:val="false"/>
                <w:bCs w:val="false"/>
                <w:sz w:val="22"/>
                <w:szCs w:val="22"/>
              </w:rPr>
              <w:t xml:space="preserve">4</w:t>
            </w:r>
          </w:p>
        </w:tc>
        <w:tc>
          <w:tcPr>
            <w:tcW w:type="dxa" w:w="3550"/>
            <w:vAlign w:val="center"/>
          </w:tcPr>
          <w:p>
            <w:pPr>
              <w:jc w:val="left"/>
            </w:pPr>
            <w:r>
              <w:rPr>
                <w:rFonts w:ascii="Times New Roman" w:cs="Times New Roman" w:eastAsia="Times New Roman" w:hAnsi="Times New Roman"/>
                <w:b w:val="false"/>
                <w:bCs w:val="false"/>
                <w:sz w:val="22"/>
                <w:szCs w:val="22"/>
              </w:rPr>
              <w:t xml:space="preserve">Hàm Thuận Bắc</w:t>
            </w:r>
          </w:p>
        </w:tc>
        <w:tc>
          <w:tcPr>
            <w:tcW w:type="dxa" w:w="1700"/>
            <w:vAlign w:val="center"/>
          </w:tcPr>
          <w:p>
            <w:pPr>
              <w:jc w:val="center"/>
            </w:pPr>
            <w:r>
              <w:rPr>
                <w:rFonts w:ascii="Times New Roman" w:cs="Times New Roman" w:eastAsia="Times New Roman" w:hAnsi="Times New Roman"/>
                <w:b w:val="false"/>
                <w:bCs w:val="false"/>
                <w:sz w:val="22"/>
                <w:szCs w:val="22"/>
              </w:rPr>
              <w:t xml:space="preserve">44,58%</w:t>
            </w:r>
          </w:p>
        </w:tc>
        <w:tc>
          <w:tcPr>
            <w:tcW w:type="dxa" w:w="1600"/>
            <w:vAlign w:val="center"/>
          </w:tcPr>
          <w:p>
            <w:pPr>
              <w:jc w:val="center"/>
            </w:pPr>
            <w:r>
              <w:rPr>
                <w:rFonts w:ascii="Times New Roman" w:cs="Times New Roman" w:eastAsia="Times New Roman" w:hAnsi="Times New Roman"/>
                <w:b w:val="false"/>
                <w:bCs w:val="false"/>
                <w:sz w:val="22"/>
                <w:szCs w:val="22"/>
              </w:rPr>
              <w:t xml:space="preserve">54,00%</w:t>
            </w:r>
          </w:p>
        </w:tc>
        <w:tc>
          <w:tcPr>
            <w:tcW w:type="dxa" w:w="1600"/>
            <w:vAlign w:val="center"/>
          </w:tcPr>
          <w:p>
            <w:pPr>
              <w:jc w:val="center"/>
            </w:pPr>
            <w:r>
              <w:rPr>
                <w:rFonts w:ascii="Times New Roman" w:cs="Times New Roman" w:eastAsia="Times New Roman" w:hAnsi="Times New Roman"/>
                <w:b w:val="false"/>
                <w:bCs w:val="false"/>
                <w:sz w:val="22"/>
                <w:szCs w:val="22"/>
              </w:rPr>
              <w:t xml:space="preserve">-9,42%</w:t>
            </w:r>
          </w:p>
        </w:tc>
      </w:tr>
      <w:tr>
        <w:tc>
          <w:tcPr>
            <w:tcW w:type="dxa" w:w="900"/>
            <w:vAlign w:val="center"/>
          </w:tcPr>
          <w:p>
            <w:pPr>
              <w:jc w:val="center"/>
            </w:pPr>
            <w:r>
              <w:rPr>
                <w:rFonts w:ascii="Times New Roman" w:cs="Times New Roman" w:eastAsia="Times New Roman" w:hAnsi="Times New Roman"/>
                <w:b w:val="false"/>
                <w:bCs w:val="false"/>
                <w:sz w:val="22"/>
                <w:szCs w:val="22"/>
              </w:rPr>
              <w:t xml:space="preserve">5</w:t>
            </w:r>
          </w:p>
        </w:tc>
        <w:tc>
          <w:tcPr>
            <w:tcW w:type="dxa" w:w="3550"/>
            <w:vAlign w:val="center"/>
          </w:tcPr>
          <w:p>
            <w:pPr>
              <w:jc w:val="left"/>
            </w:pPr>
            <w:r>
              <w:rPr>
                <w:rFonts w:ascii="Times New Roman" w:cs="Times New Roman" w:eastAsia="Times New Roman" w:hAnsi="Times New Roman"/>
                <w:b w:val="false"/>
                <w:bCs w:val="false"/>
                <w:sz w:val="22"/>
                <w:szCs w:val="22"/>
              </w:rPr>
              <w:t xml:space="preserve">La Gi</w:t>
            </w:r>
          </w:p>
        </w:tc>
        <w:tc>
          <w:tcPr>
            <w:tcW w:type="dxa" w:w="1700"/>
            <w:vAlign w:val="center"/>
          </w:tcPr>
          <w:p>
            <w:pPr>
              <w:jc w:val="center"/>
            </w:pPr>
            <w:r>
              <w:rPr>
                <w:rFonts w:ascii="Times New Roman" w:cs="Times New Roman" w:eastAsia="Times New Roman" w:hAnsi="Times New Roman"/>
                <w:b w:val="false"/>
                <w:bCs w:val="false"/>
                <w:sz w:val="22"/>
                <w:szCs w:val="22"/>
              </w:rPr>
              <w:t xml:space="preserve">45,96%</w:t>
            </w:r>
          </w:p>
        </w:tc>
        <w:tc>
          <w:tcPr>
            <w:tcW w:type="dxa" w:w="1600"/>
            <w:vAlign w:val="center"/>
          </w:tcPr>
          <w:p>
            <w:pPr>
              <w:jc w:val="center"/>
            </w:pPr>
            <w:r>
              <w:rPr>
                <w:rFonts w:ascii="Times New Roman" w:cs="Times New Roman" w:eastAsia="Times New Roman" w:hAnsi="Times New Roman"/>
                <w:b w:val="false"/>
                <w:bCs w:val="false"/>
                <w:sz w:val="22"/>
                <w:szCs w:val="22"/>
              </w:rPr>
              <w:t xml:space="preserve">56,00%</w:t>
            </w:r>
          </w:p>
        </w:tc>
        <w:tc>
          <w:tcPr>
            <w:tcW w:type="dxa" w:w="1600"/>
            <w:vAlign w:val="center"/>
          </w:tcPr>
          <w:p>
            <w:pPr>
              <w:jc w:val="center"/>
            </w:pPr>
            <w:r>
              <w:rPr>
                <w:rFonts w:ascii="Times New Roman" w:cs="Times New Roman" w:eastAsia="Times New Roman" w:hAnsi="Times New Roman"/>
                <w:b w:val="false"/>
                <w:bCs w:val="false"/>
                <w:sz w:val="22"/>
                <w:szCs w:val="22"/>
              </w:rPr>
              <w:t xml:space="preserve">-10,04%</w:t>
            </w:r>
          </w:p>
        </w:tc>
      </w:tr>
    </w:tbl>
    <w:p>
      <w:pPr>
        <w:spacing w:after="160" w:line="360"/>
        <w:jc w:val="both"/>
      </w:pPr>
      <w:r>
        <w:rPr>
          <w:rFonts w:ascii="Times New Roman" w:cs="Times New Roman" w:eastAsia="Times New Roman" w:hAnsi="Times New Roman"/>
          <w:b w:val="false"/>
          <w:bCs w:val="false"/>
          <w:i w:val="false"/>
          <w:iCs w:val="false"/>
          <w:sz w:val="26"/>
          <w:szCs w:val="26"/>
        </w:rPr>
        <w:t xml:space="preserve">Nhóm 5 đơn vị này chủ yếu tập trung ở khu vực Bình Thuận (Tuy Phong, Hàm Thuận Bắc, La Gi) và Đắk Nông (Krông Nô, Đắk Mil) – đây là các địa bàn cần được ưu tiên hỗ trợ, kiểm tra nguyên nhân và có giải pháp thúc đẩy trong thời gian tới.</w:t>
      </w:r>
    </w:p>
    <w:p>
      <w:pPr>
        <w:pStyle w:val="Heading1"/>
        <w:spacing w:after="160" w:before="240"/>
      </w:pPr>
      <w:r>
        <w:rPr>
          <w:rFonts w:ascii="Times New Roman" w:cs="Times New Roman" w:eastAsia="Times New Roman" w:hAnsi="Times New Roman"/>
          <w:b/>
          <w:bCs/>
          <w:sz w:val="28"/>
          <w:szCs w:val="28"/>
        </w:rPr>
        <w:t xml:space="preserve">5. So sánh biến động giữa tháng 7/2026 và tháng 8/2026</w:t>
      </w:r>
    </w:p>
    <w:p>
      <w:pPr>
        <w:spacing w:after="160" w:line="360"/>
        <w:jc w:val="both"/>
      </w:pPr>
      <w:r>
        <w:rPr>
          <w:rFonts w:ascii="Times New Roman" w:cs="Times New Roman" w:eastAsia="Times New Roman" w:hAnsi="Times New Roman"/>
          <w:b w:val="false"/>
          <w:bCs w:val="false"/>
          <w:i w:val="false"/>
          <w:iCs w:val="false"/>
          <w:sz w:val="26"/>
          <w:szCs w:val="26"/>
        </w:rPr>
        <w:t xml:space="preserve">Xét theo từng đơn vị, biến động tỷ lệ thu qua ngân hàng tháng 8 so với tháng 7 như sau:</w:t>
      </w:r>
    </w:p>
    <w:p>
      <w:pPr>
        <w:spacing w:after="160" w:line="360"/>
        <w:jc w:val="left"/>
      </w:pPr>
      <w:r>
        <w:rPr>
          <w:rFonts w:ascii="Times New Roman" w:cs="Times New Roman" w:eastAsia="Times New Roman" w:hAnsi="Times New Roman"/>
          <w:b w:val="false"/>
          <w:bCs w:val="false"/>
          <w:i w:val="false"/>
          <w:iCs w:val="false"/>
          <w:sz w:val="26"/>
          <w:szCs w:val="26"/>
        </w:rPr>
        <w:t xml:space="preserve">- 16/30 đơn vị có tỷ lệ tăng so với tháng trước;</w:t>
      </w:r>
    </w:p>
    <w:p>
      <w:pPr>
        <w:spacing w:after="160" w:line="360"/>
        <w:jc w:val="left"/>
      </w:pPr>
      <w:r>
        <w:rPr>
          <w:rFonts w:ascii="Times New Roman" w:cs="Times New Roman" w:eastAsia="Times New Roman" w:hAnsi="Times New Roman"/>
          <w:b w:val="false"/>
          <w:bCs w:val="false"/>
          <w:i w:val="false"/>
          <w:iCs w:val="false"/>
          <w:sz w:val="26"/>
          <w:szCs w:val="26"/>
        </w:rPr>
        <w:t xml:space="preserve">- 13/30 đơn vị có tỷ lệ giảm so với tháng trước;</w:t>
      </w:r>
    </w:p>
    <w:p>
      <w:pPr>
        <w:spacing w:after="160" w:line="360"/>
        <w:jc w:val="left"/>
      </w:pPr>
      <w:r>
        <w:rPr>
          <w:rFonts w:ascii="Times New Roman" w:cs="Times New Roman" w:eastAsia="Times New Roman" w:hAnsi="Times New Roman"/>
          <w:b w:val="false"/>
          <w:bCs w:val="false"/>
          <w:i w:val="false"/>
          <w:iCs w:val="false"/>
          <w:sz w:val="26"/>
          <w:szCs w:val="26"/>
        </w:rPr>
        <w:t xml:space="preserve">- 01/30 đơn vị giữ nguyên (Trường Sa, 100%).</w:t>
      </w:r>
    </w:p>
    <w:p>
      <w:pPr>
        <w:spacing w:after="160" w:line="360"/>
        <w:jc w:val="left"/>
      </w:pPr>
      <w:r>
        <w:rPr>
          <w:rFonts w:ascii="Times New Roman" w:cs="Times New Roman" w:eastAsia="Times New Roman" w:hAnsi="Times New Roman"/>
          <w:b/>
          <w:bCs/>
          <w:i w:val="false"/>
          <w:iCs w:val="false"/>
          <w:sz w:val="26"/>
          <w:szCs w:val="26"/>
        </w:rPr>
        <w:t xml:space="preserve">Bảng 4: 5 đơn vị có mức tăng mạnh nhất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150"/>
        <w:gridCol w:w="2150"/>
        <w:gridCol w:w="2150"/>
      </w:tblGrid>
      <w:tr>
        <w:trPr>
          <w:tblHeader/>
        </w:trPr>
        <w:tc>
          <w:tcPr>
            <w:tcW w:type="dxa" w:w="2900"/>
            <w:shd w:fill="D9D9D9" w:val="clear"/>
            <w:vAlign w:val="center"/>
          </w:tcPr>
          <w:p>
            <w:pPr>
              <w:jc w:val="center"/>
            </w:pPr>
            <w:r>
              <w:rPr>
                <w:rFonts w:ascii="Times New Roman" w:cs="Times New Roman" w:eastAsia="Times New Roman" w:hAnsi="Times New Roman"/>
                <w:b/>
                <w:bCs/>
                <w:sz w:val="22"/>
                <w:szCs w:val="22"/>
              </w:rPr>
              <w:t xml:space="preserve">Điện lực</w:t>
            </w:r>
          </w:p>
        </w:tc>
        <w:tc>
          <w:tcPr>
            <w:tcW w:type="dxa" w:w="2150"/>
            <w:shd w:fill="D9D9D9" w:val="clear"/>
            <w:vAlign w:val="center"/>
          </w:tcPr>
          <w:p>
            <w:pPr>
              <w:jc w:val="center"/>
            </w:pPr>
            <w:r>
              <w:rPr>
                <w:rFonts w:ascii="Times New Roman" w:cs="Times New Roman" w:eastAsia="Times New Roman" w:hAnsi="Times New Roman"/>
                <w:b/>
                <w:bCs/>
                <w:sz w:val="22"/>
                <w:szCs w:val="22"/>
              </w:rPr>
              <w:t xml:space="preserve">T7/2026</w:t>
            </w:r>
          </w:p>
        </w:tc>
        <w:tc>
          <w:tcPr>
            <w:tcW w:type="dxa" w:w="2150"/>
            <w:shd w:fill="D9D9D9" w:val="clear"/>
            <w:vAlign w:val="center"/>
          </w:tcPr>
          <w:p>
            <w:pPr>
              <w:jc w:val="center"/>
            </w:pPr>
            <w:r>
              <w:rPr>
                <w:rFonts w:ascii="Times New Roman" w:cs="Times New Roman" w:eastAsia="Times New Roman" w:hAnsi="Times New Roman"/>
                <w:b/>
                <w:bCs/>
                <w:sz w:val="22"/>
                <w:szCs w:val="22"/>
              </w:rPr>
              <w:t xml:space="preserve">T8/2026</w:t>
            </w:r>
          </w:p>
        </w:tc>
        <w:tc>
          <w:tcPr>
            <w:tcW w:type="dxa" w:w="2150"/>
            <w:shd w:fill="D9D9D9" w:val="clear"/>
            <w:vAlign w:val="center"/>
          </w:tcPr>
          <w:p>
            <w:pPr>
              <w:jc w:val="center"/>
            </w:pPr>
            <w:r>
              <w:rPr>
                <w:rFonts w:ascii="Times New Roman" w:cs="Times New Roman" w:eastAsia="Times New Roman" w:hAnsi="Times New Roman"/>
                <w:b/>
                <w:bCs/>
                <w:sz w:val="22"/>
                <w:szCs w:val="22"/>
              </w:rPr>
              <w:t xml:space="preserve">Biến động</w:t>
            </w:r>
          </w:p>
        </w:tc>
      </w:tr>
      <w:tr>
        <w:tc>
          <w:tcPr>
            <w:tcW w:type="dxa" w:w="2900"/>
            <w:vAlign w:val="center"/>
          </w:tcPr>
          <w:p>
            <w:pPr>
              <w:jc w:val="center"/>
            </w:pPr>
            <w:r>
              <w:rPr>
                <w:rFonts w:ascii="Times New Roman" w:cs="Times New Roman" w:eastAsia="Times New Roman" w:hAnsi="Times New Roman"/>
                <w:b w:val="false"/>
                <w:bCs w:val="false"/>
                <w:sz w:val="22"/>
                <w:szCs w:val="22"/>
              </w:rPr>
              <w:t xml:space="preserve">Bắc Bình</w:t>
            </w:r>
          </w:p>
        </w:tc>
        <w:tc>
          <w:tcPr>
            <w:tcW w:type="dxa" w:w="2150"/>
            <w:vAlign w:val="center"/>
          </w:tcPr>
          <w:p>
            <w:pPr>
              <w:jc w:val="left"/>
            </w:pPr>
            <w:r>
              <w:rPr>
                <w:rFonts w:ascii="Times New Roman" w:cs="Times New Roman" w:eastAsia="Times New Roman" w:hAnsi="Times New Roman"/>
                <w:b w:val="false"/>
                <w:bCs w:val="false"/>
                <w:sz w:val="22"/>
                <w:szCs w:val="22"/>
              </w:rPr>
              <w:t xml:space="preserve">39,62%</w:t>
            </w:r>
          </w:p>
        </w:tc>
        <w:tc>
          <w:tcPr>
            <w:tcW w:type="dxa" w:w="2150"/>
            <w:vAlign w:val="center"/>
          </w:tcPr>
          <w:p>
            <w:pPr>
              <w:jc w:val="center"/>
            </w:pPr>
            <w:r>
              <w:rPr>
                <w:rFonts w:ascii="Times New Roman" w:cs="Times New Roman" w:eastAsia="Times New Roman" w:hAnsi="Times New Roman"/>
                <w:b w:val="false"/>
                <w:bCs w:val="false"/>
                <w:sz w:val="22"/>
                <w:szCs w:val="22"/>
              </w:rPr>
              <w:t xml:space="preserve">46,70%</w:t>
            </w:r>
          </w:p>
        </w:tc>
        <w:tc>
          <w:tcPr>
            <w:tcW w:type="dxa" w:w="2150"/>
            <w:vAlign w:val="center"/>
          </w:tcPr>
          <w:p>
            <w:pPr>
              <w:jc w:val="center"/>
            </w:pPr>
            <w:r>
              <w:rPr>
                <w:rFonts w:ascii="Times New Roman" w:cs="Times New Roman" w:eastAsia="Times New Roman" w:hAnsi="Times New Roman"/>
                <w:b w:val="false"/>
                <w:bCs w:val="false"/>
                <w:sz w:val="22"/>
                <w:szCs w:val="22"/>
              </w:rPr>
              <w:t xml:space="preserve">+7,08%</w:t>
            </w:r>
          </w:p>
        </w:tc>
      </w:tr>
      <w:tr>
        <w:tc>
          <w:tcPr>
            <w:tcW w:type="dxa" w:w="2900"/>
            <w:vAlign w:val="center"/>
          </w:tcPr>
          <w:p>
            <w:pPr>
              <w:jc w:val="center"/>
            </w:pPr>
            <w:r>
              <w:rPr>
                <w:rFonts w:ascii="Times New Roman" w:cs="Times New Roman" w:eastAsia="Times New Roman" w:hAnsi="Times New Roman"/>
                <w:b w:val="false"/>
                <w:bCs w:val="false"/>
                <w:sz w:val="22"/>
                <w:szCs w:val="22"/>
              </w:rPr>
              <w:t xml:space="preserve">Tuy Đức</w:t>
            </w:r>
          </w:p>
        </w:tc>
        <w:tc>
          <w:tcPr>
            <w:tcW w:type="dxa" w:w="2150"/>
            <w:vAlign w:val="center"/>
          </w:tcPr>
          <w:p>
            <w:pPr>
              <w:jc w:val="left"/>
            </w:pPr>
            <w:r>
              <w:rPr>
                <w:rFonts w:ascii="Times New Roman" w:cs="Times New Roman" w:eastAsia="Times New Roman" w:hAnsi="Times New Roman"/>
                <w:b w:val="false"/>
                <w:bCs w:val="false"/>
                <w:sz w:val="22"/>
                <w:szCs w:val="22"/>
              </w:rPr>
              <w:t xml:space="preserve">55,31%</w:t>
            </w:r>
          </w:p>
        </w:tc>
        <w:tc>
          <w:tcPr>
            <w:tcW w:type="dxa" w:w="2150"/>
            <w:vAlign w:val="center"/>
          </w:tcPr>
          <w:p>
            <w:pPr>
              <w:jc w:val="center"/>
            </w:pPr>
            <w:r>
              <w:rPr>
                <w:rFonts w:ascii="Times New Roman" w:cs="Times New Roman" w:eastAsia="Times New Roman" w:hAnsi="Times New Roman"/>
                <w:b w:val="false"/>
                <w:bCs w:val="false"/>
                <w:sz w:val="22"/>
                <w:szCs w:val="22"/>
              </w:rPr>
              <w:t xml:space="preserve">56,86%</w:t>
            </w:r>
          </w:p>
        </w:tc>
        <w:tc>
          <w:tcPr>
            <w:tcW w:type="dxa" w:w="2150"/>
            <w:vAlign w:val="center"/>
          </w:tcPr>
          <w:p>
            <w:pPr>
              <w:jc w:val="center"/>
            </w:pPr>
            <w:r>
              <w:rPr>
                <w:rFonts w:ascii="Times New Roman" w:cs="Times New Roman" w:eastAsia="Times New Roman" w:hAnsi="Times New Roman"/>
                <w:b w:val="false"/>
                <w:bCs w:val="false"/>
                <w:sz w:val="22"/>
                <w:szCs w:val="22"/>
              </w:rPr>
              <w:t xml:space="preserve">+1,55%</w:t>
            </w:r>
          </w:p>
        </w:tc>
      </w:tr>
      <w:tr>
        <w:tc>
          <w:tcPr>
            <w:tcW w:type="dxa" w:w="2900"/>
            <w:vAlign w:val="center"/>
          </w:tcPr>
          <w:p>
            <w:pPr>
              <w:jc w:val="center"/>
            </w:pPr>
            <w:r>
              <w:rPr>
                <w:rFonts w:ascii="Times New Roman" w:cs="Times New Roman" w:eastAsia="Times New Roman" w:hAnsi="Times New Roman"/>
                <w:b w:val="false"/>
                <w:bCs w:val="false"/>
                <w:sz w:val="22"/>
                <w:szCs w:val="22"/>
              </w:rPr>
              <w:t xml:space="preserve">Đắk Mil</w:t>
            </w:r>
          </w:p>
        </w:tc>
        <w:tc>
          <w:tcPr>
            <w:tcW w:type="dxa" w:w="2150"/>
            <w:vAlign w:val="center"/>
          </w:tcPr>
          <w:p>
            <w:pPr>
              <w:jc w:val="left"/>
            </w:pPr>
            <w:r>
              <w:rPr>
                <w:rFonts w:ascii="Times New Roman" w:cs="Times New Roman" w:eastAsia="Times New Roman" w:hAnsi="Times New Roman"/>
                <w:b w:val="false"/>
                <w:bCs w:val="false"/>
                <w:sz w:val="22"/>
                <w:szCs w:val="22"/>
              </w:rPr>
              <w:t xml:space="preserve">43,48%</w:t>
            </w:r>
          </w:p>
        </w:tc>
        <w:tc>
          <w:tcPr>
            <w:tcW w:type="dxa" w:w="2150"/>
            <w:vAlign w:val="center"/>
          </w:tcPr>
          <w:p>
            <w:pPr>
              <w:jc w:val="center"/>
            </w:pPr>
            <w:r>
              <w:rPr>
                <w:rFonts w:ascii="Times New Roman" w:cs="Times New Roman" w:eastAsia="Times New Roman" w:hAnsi="Times New Roman"/>
                <w:b w:val="false"/>
                <w:bCs w:val="false"/>
                <w:sz w:val="22"/>
                <w:szCs w:val="22"/>
              </w:rPr>
              <w:t xml:space="preserve">44,49%</w:t>
            </w:r>
          </w:p>
        </w:tc>
        <w:tc>
          <w:tcPr>
            <w:tcW w:type="dxa" w:w="2150"/>
            <w:vAlign w:val="center"/>
          </w:tcPr>
          <w:p>
            <w:pPr>
              <w:jc w:val="center"/>
            </w:pPr>
            <w:r>
              <w:rPr>
                <w:rFonts w:ascii="Times New Roman" w:cs="Times New Roman" w:eastAsia="Times New Roman" w:hAnsi="Times New Roman"/>
                <w:b w:val="false"/>
                <w:bCs w:val="false"/>
                <w:sz w:val="22"/>
                <w:szCs w:val="22"/>
              </w:rPr>
              <w:t xml:space="preserve">+1,01%</w:t>
            </w:r>
          </w:p>
        </w:tc>
      </w:tr>
      <w:tr>
        <w:tc>
          <w:tcPr>
            <w:tcW w:type="dxa" w:w="2900"/>
            <w:vAlign w:val="center"/>
          </w:tcPr>
          <w:p>
            <w:pPr>
              <w:jc w:val="center"/>
            </w:pPr>
            <w:r>
              <w:rPr>
                <w:rFonts w:ascii="Times New Roman" w:cs="Times New Roman" w:eastAsia="Times New Roman" w:hAnsi="Times New Roman"/>
                <w:b w:val="false"/>
                <w:bCs w:val="false"/>
                <w:sz w:val="22"/>
                <w:szCs w:val="22"/>
              </w:rPr>
              <w:t xml:space="preserve">Hàm Thuận Nam</w:t>
            </w:r>
          </w:p>
        </w:tc>
        <w:tc>
          <w:tcPr>
            <w:tcW w:type="dxa" w:w="2150"/>
            <w:vAlign w:val="center"/>
          </w:tcPr>
          <w:p>
            <w:pPr>
              <w:jc w:val="left"/>
            </w:pPr>
            <w:r>
              <w:rPr>
                <w:rFonts w:ascii="Times New Roman" w:cs="Times New Roman" w:eastAsia="Times New Roman" w:hAnsi="Times New Roman"/>
                <w:b w:val="false"/>
                <w:bCs w:val="false"/>
                <w:sz w:val="22"/>
                <w:szCs w:val="22"/>
              </w:rPr>
              <w:t xml:space="preserve">49,14%</w:t>
            </w:r>
          </w:p>
        </w:tc>
        <w:tc>
          <w:tcPr>
            <w:tcW w:type="dxa" w:w="2150"/>
            <w:vAlign w:val="center"/>
          </w:tcPr>
          <w:p>
            <w:pPr>
              <w:jc w:val="center"/>
            </w:pPr>
            <w:r>
              <w:rPr>
                <w:rFonts w:ascii="Times New Roman" w:cs="Times New Roman" w:eastAsia="Times New Roman" w:hAnsi="Times New Roman"/>
                <w:b w:val="false"/>
                <w:bCs w:val="false"/>
                <w:sz w:val="22"/>
                <w:szCs w:val="22"/>
              </w:rPr>
              <w:t xml:space="preserve">49,89%</w:t>
            </w:r>
          </w:p>
        </w:tc>
        <w:tc>
          <w:tcPr>
            <w:tcW w:type="dxa" w:w="2150"/>
            <w:vAlign w:val="center"/>
          </w:tcPr>
          <w:p>
            <w:pPr>
              <w:jc w:val="center"/>
            </w:pPr>
            <w:r>
              <w:rPr>
                <w:rFonts w:ascii="Times New Roman" w:cs="Times New Roman" w:eastAsia="Times New Roman" w:hAnsi="Times New Roman"/>
                <w:b w:val="false"/>
                <w:bCs w:val="false"/>
                <w:sz w:val="22"/>
                <w:szCs w:val="22"/>
              </w:rPr>
              <w:t xml:space="preserve">+0,75%</w:t>
            </w:r>
          </w:p>
        </w:tc>
      </w:tr>
      <w:tr>
        <w:tc>
          <w:tcPr>
            <w:tcW w:type="dxa" w:w="2900"/>
            <w:vAlign w:val="center"/>
          </w:tcPr>
          <w:p>
            <w:pPr>
              <w:jc w:val="center"/>
            </w:pPr>
            <w:r>
              <w:rPr>
                <w:rFonts w:ascii="Times New Roman" w:cs="Times New Roman" w:eastAsia="Times New Roman" w:hAnsi="Times New Roman"/>
                <w:b w:val="false"/>
                <w:bCs w:val="false"/>
                <w:sz w:val="22"/>
                <w:szCs w:val="22"/>
              </w:rPr>
              <w:t xml:space="preserve">Đạ Tẻh</w:t>
            </w:r>
          </w:p>
        </w:tc>
        <w:tc>
          <w:tcPr>
            <w:tcW w:type="dxa" w:w="2150"/>
            <w:vAlign w:val="center"/>
          </w:tcPr>
          <w:p>
            <w:pPr>
              <w:jc w:val="left"/>
            </w:pPr>
            <w:r>
              <w:rPr>
                <w:rFonts w:ascii="Times New Roman" w:cs="Times New Roman" w:eastAsia="Times New Roman" w:hAnsi="Times New Roman"/>
                <w:b w:val="false"/>
                <w:bCs w:val="false"/>
                <w:sz w:val="22"/>
                <w:szCs w:val="22"/>
              </w:rPr>
              <w:t xml:space="preserve">64,78%</w:t>
            </w:r>
          </w:p>
        </w:tc>
        <w:tc>
          <w:tcPr>
            <w:tcW w:type="dxa" w:w="2150"/>
            <w:vAlign w:val="center"/>
          </w:tcPr>
          <w:p>
            <w:pPr>
              <w:jc w:val="center"/>
            </w:pPr>
            <w:r>
              <w:rPr>
                <w:rFonts w:ascii="Times New Roman" w:cs="Times New Roman" w:eastAsia="Times New Roman" w:hAnsi="Times New Roman"/>
                <w:b w:val="false"/>
                <w:bCs w:val="false"/>
                <w:sz w:val="22"/>
                <w:szCs w:val="22"/>
              </w:rPr>
              <w:t xml:space="preserve">65,22%</w:t>
            </w:r>
          </w:p>
        </w:tc>
        <w:tc>
          <w:tcPr>
            <w:tcW w:type="dxa" w:w="2150"/>
            <w:vAlign w:val="center"/>
          </w:tcPr>
          <w:p>
            <w:pPr>
              <w:jc w:val="center"/>
            </w:pPr>
            <w:r>
              <w:rPr>
                <w:rFonts w:ascii="Times New Roman" w:cs="Times New Roman" w:eastAsia="Times New Roman" w:hAnsi="Times New Roman"/>
                <w:b w:val="false"/>
                <w:bCs w:val="false"/>
                <w:sz w:val="22"/>
                <w:szCs w:val="22"/>
              </w:rPr>
              <w:t xml:space="preserve">+0,44%</w:t>
            </w:r>
          </w:p>
        </w:tc>
      </w:tr>
    </w:tbl>
    <w:p>
      <w:pPr>
        <w:spacing w:after="160" w:line="360"/>
        <w:jc w:val="both"/>
      </w:pPr>
      <w:r>
        <w:rPr>
          <w:rFonts w:ascii="Times New Roman" w:cs="Times New Roman" w:eastAsia="Times New Roman" w:hAnsi="Times New Roman"/>
          <w:b w:val="false"/>
          <w:bCs w:val="false"/>
          <w:i w:val="false"/>
          <w:iCs w:val="false"/>
          <w:sz w:val="26"/>
          <w:szCs w:val="26"/>
        </w:rPr>
        <w:t xml:space="preserve">Đặc biệt, Bắc Bình có bước nhảy vọt bất thường (+7,08 điểm %), là mức tăng cao gấp nhiều lần so với các đơn vị khác – cần được ghi nhận như điểm sáng và tìm hiểu kinh nghiệm để nhân rộng.</w:t>
      </w:r>
    </w:p>
    <w:p>
      <w:pPr>
        <w:spacing w:after="160" w:line="360"/>
        <w:jc w:val="left"/>
      </w:pPr>
      <w:r>
        <w:rPr>
          <w:rFonts w:ascii="Times New Roman" w:cs="Times New Roman" w:eastAsia="Times New Roman" w:hAnsi="Times New Roman"/>
          <w:b/>
          <w:bCs/>
          <w:i w:val="false"/>
          <w:iCs w:val="false"/>
          <w:sz w:val="26"/>
          <w:szCs w:val="26"/>
        </w:rPr>
        <w:t xml:space="preserve">Bảng 5: 5 đơn vị có mức giảm mạnh nhất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150"/>
        <w:gridCol w:w="2150"/>
        <w:gridCol w:w="2150"/>
      </w:tblGrid>
      <w:tr>
        <w:trPr>
          <w:tblHeader/>
        </w:trPr>
        <w:tc>
          <w:tcPr>
            <w:tcW w:type="dxa" w:w="2900"/>
            <w:shd w:fill="D9D9D9" w:val="clear"/>
            <w:vAlign w:val="center"/>
          </w:tcPr>
          <w:p>
            <w:pPr>
              <w:jc w:val="center"/>
            </w:pPr>
            <w:r>
              <w:rPr>
                <w:rFonts w:ascii="Times New Roman" w:cs="Times New Roman" w:eastAsia="Times New Roman" w:hAnsi="Times New Roman"/>
                <w:b/>
                <w:bCs/>
                <w:sz w:val="22"/>
                <w:szCs w:val="22"/>
              </w:rPr>
              <w:t xml:space="preserve">Điện lực</w:t>
            </w:r>
          </w:p>
        </w:tc>
        <w:tc>
          <w:tcPr>
            <w:tcW w:type="dxa" w:w="2150"/>
            <w:shd w:fill="D9D9D9" w:val="clear"/>
            <w:vAlign w:val="center"/>
          </w:tcPr>
          <w:p>
            <w:pPr>
              <w:jc w:val="center"/>
            </w:pPr>
            <w:r>
              <w:rPr>
                <w:rFonts w:ascii="Times New Roman" w:cs="Times New Roman" w:eastAsia="Times New Roman" w:hAnsi="Times New Roman"/>
                <w:b/>
                <w:bCs/>
                <w:sz w:val="22"/>
                <w:szCs w:val="22"/>
              </w:rPr>
              <w:t xml:space="preserve">T7/2026</w:t>
            </w:r>
          </w:p>
        </w:tc>
        <w:tc>
          <w:tcPr>
            <w:tcW w:type="dxa" w:w="2150"/>
            <w:shd w:fill="D9D9D9" w:val="clear"/>
            <w:vAlign w:val="center"/>
          </w:tcPr>
          <w:p>
            <w:pPr>
              <w:jc w:val="center"/>
            </w:pPr>
            <w:r>
              <w:rPr>
                <w:rFonts w:ascii="Times New Roman" w:cs="Times New Roman" w:eastAsia="Times New Roman" w:hAnsi="Times New Roman"/>
                <w:b/>
                <w:bCs/>
                <w:sz w:val="22"/>
                <w:szCs w:val="22"/>
              </w:rPr>
              <w:t xml:space="preserve">T8/2026</w:t>
            </w:r>
          </w:p>
        </w:tc>
        <w:tc>
          <w:tcPr>
            <w:tcW w:type="dxa" w:w="2150"/>
            <w:shd w:fill="D9D9D9" w:val="clear"/>
            <w:vAlign w:val="center"/>
          </w:tcPr>
          <w:p>
            <w:pPr>
              <w:jc w:val="center"/>
            </w:pPr>
            <w:r>
              <w:rPr>
                <w:rFonts w:ascii="Times New Roman" w:cs="Times New Roman" w:eastAsia="Times New Roman" w:hAnsi="Times New Roman"/>
                <w:b/>
                <w:bCs/>
                <w:sz w:val="22"/>
                <w:szCs w:val="22"/>
              </w:rPr>
              <w:t xml:space="preserve">Biến động</w:t>
            </w:r>
          </w:p>
        </w:tc>
      </w:tr>
      <w:tr>
        <w:tc>
          <w:tcPr>
            <w:tcW w:type="dxa" w:w="2900"/>
            <w:vAlign w:val="center"/>
          </w:tcPr>
          <w:p>
            <w:pPr>
              <w:jc w:val="center"/>
            </w:pPr>
            <w:r>
              <w:rPr>
                <w:rFonts w:ascii="Times New Roman" w:cs="Times New Roman" w:eastAsia="Times New Roman" w:hAnsi="Times New Roman"/>
                <w:b w:val="false"/>
                <w:bCs w:val="false"/>
                <w:sz w:val="22"/>
                <w:szCs w:val="22"/>
              </w:rPr>
              <w:t xml:space="preserve">Phú Quý</w:t>
            </w:r>
          </w:p>
        </w:tc>
        <w:tc>
          <w:tcPr>
            <w:tcW w:type="dxa" w:w="2150"/>
            <w:vAlign w:val="center"/>
          </w:tcPr>
          <w:p>
            <w:pPr>
              <w:jc w:val="left"/>
            </w:pPr>
            <w:r>
              <w:rPr>
                <w:rFonts w:ascii="Times New Roman" w:cs="Times New Roman" w:eastAsia="Times New Roman" w:hAnsi="Times New Roman"/>
                <w:b w:val="false"/>
                <w:bCs w:val="false"/>
                <w:sz w:val="22"/>
                <w:szCs w:val="22"/>
              </w:rPr>
              <w:t xml:space="preserve">61,11%</w:t>
            </w:r>
          </w:p>
        </w:tc>
        <w:tc>
          <w:tcPr>
            <w:tcW w:type="dxa" w:w="2150"/>
            <w:vAlign w:val="center"/>
          </w:tcPr>
          <w:p>
            <w:pPr>
              <w:jc w:val="center"/>
            </w:pPr>
            <w:r>
              <w:rPr>
                <w:rFonts w:ascii="Times New Roman" w:cs="Times New Roman" w:eastAsia="Times New Roman" w:hAnsi="Times New Roman"/>
                <w:b w:val="false"/>
                <w:bCs w:val="false"/>
                <w:sz w:val="22"/>
                <w:szCs w:val="22"/>
              </w:rPr>
              <w:t xml:space="preserve">60,09%</w:t>
            </w:r>
          </w:p>
        </w:tc>
        <w:tc>
          <w:tcPr>
            <w:tcW w:type="dxa" w:w="2150"/>
            <w:vAlign w:val="center"/>
          </w:tcPr>
          <w:p>
            <w:pPr>
              <w:jc w:val="center"/>
            </w:pPr>
            <w:r>
              <w:rPr>
                <w:rFonts w:ascii="Times New Roman" w:cs="Times New Roman" w:eastAsia="Times New Roman" w:hAnsi="Times New Roman"/>
                <w:b w:val="false"/>
                <w:bCs w:val="false"/>
                <w:sz w:val="22"/>
                <w:szCs w:val="22"/>
              </w:rPr>
              <w:t xml:space="preserve">-1,02%</w:t>
            </w:r>
          </w:p>
        </w:tc>
      </w:tr>
      <w:tr>
        <w:tc>
          <w:tcPr>
            <w:tcW w:type="dxa" w:w="2900"/>
            <w:vAlign w:val="center"/>
          </w:tcPr>
          <w:p>
            <w:pPr>
              <w:jc w:val="center"/>
            </w:pPr>
            <w:r>
              <w:rPr>
                <w:rFonts w:ascii="Times New Roman" w:cs="Times New Roman" w:eastAsia="Times New Roman" w:hAnsi="Times New Roman"/>
                <w:b w:val="false"/>
                <w:bCs w:val="false"/>
                <w:sz w:val="22"/>
                <w:szCs w:val="22"/>
              </w:rPr>
              <w:t xml:space="preserve">Tánh Linh</w:t>
            </w:r>
          </w:p>
        </w:tc>
        <w:tc>
          <w:tcPr>
            <w:tcW w:type="dxa" w:w="2150"/>
            <w:vAlign w:val="center"/>
          </w:tcPr>
          <w:p>
            <w:pPr>
              <w:jc w:val="left"/>
            </w:pPr>
            <w:r>
              <w:rPr>
                <w:rFonts w:ascii="Times New Roman" w:cs="Times New Roman" w:eastAsia="Times New Roman" w:hAnsi="Times New Roman"/>
                <w:b w:val="false"/>
                <w:bCs w:val="false"/>
                <w:sz w:val="22"/>
                <w:szCs w:val="22"/>
              </w:rPr>
              <w:t xml:space="preserve">50,90%</w:t>
            </w:r>
          </w:p>
        </w:tc>
        <w:tc>
          <w:tcPr>
            <w:tcW w:type="dxa" w:w="2150"/>
            <w:vAlign w:val="center"/>
          </w:tcPr>
          <w:p>
            <w:pPr>
              <w:jc w:val="center"/>
            </w:pPr>
            <w:r>
              <w:rPr>
                <w:rFonts w:ascii="Times New Roman" w:cs="Times New Roman" w:eastAsia="Times New Roman" w:hAnsi="Times New Roman"/>
                <w:b w:val="false"/>
                <w:bCs w:val="false"/>
                <w:sz w:val="22"/>
                <w:szCs w:val="22"/>
              </w:rPr>
              <w:t xml:space="preserve">50,25%</w:t>
            </w:r>
          </w:p>
        </w:tc>
        <w:tc>
          <w:tcPr>
            <w:tcW w:type="dxa" w:w="2150"/>
            <w:vAlign w:val="center"/>
          </w:tcPr>
          <w:p>
            <w:pPr>
              <w:jc w:val="center"/>
            </w:pPr>
            <w:r>
              <w:rPr>
                <w:rFonts w:ascii="Times New Roman" w:cs="Times New Roman" w:eastAsia="Times New Roman" w:hAnsi="Times New Roman"/>
                <w:b w:val="false"/>
                <w:bCs w:val="false"/>
                <w:sz w:val="22"/>
                <w:szCs w:val="22"/>
              </w:rPr>
              <w:t xml:space="preserve">-0,65%</w:t>
            </w:r>
          </w:p>
        </w:tc>
      </w:tr>
      <w:tr>
        <w:tc>
          <w:tcPr>
            <w:tcW w:type="dxa" w:w="2900"/>
            <w:vAlign w:val="center"/>
          </w:tcPr>
          <w:p>
            <w:pPr>
              <w:jc w:val="center"/>
            </w:pPr>
            <w:r>
              <w:rPr>
                <w:rFonts w:ascii="Times New Roman" w:cs="Times New Roman" w:eastAsia="Times New Roman" w:hAnsi="Times New Roman"/>
                <w:b w:val="false"/>
                <w:bCs w:val="false"/>
                <w:sz w:val="22"/>
                <w:szCs w:val="22"/>
              </w:rPr>
              <w:t xml:space="preserve">Đắk Song</w:t>
            </w:r>
          </w:p>
        </w:tc>
        <w:tc>
          <w:tcPr>
            <w:tcW w:type="dxa" w:w="2150"/>
            <w:vAlign w:val="center"/>
          </w:tcPr>
          <w:p>
            <w:pPr>
              <w:jc w:val="left"/>
            </w:pPr>
            <w:r>
              <w:rPr>
                <w:rFonts w:ascii="Times New Roman" w:cs="Times New Roman" w:eastAsia="Times New Roman" w:hAnsi="Times New Roman"/>
                <w:b w:val="false"/>
                <w:bCs w:val="false"/>
                <w:sz w:val="22"/>
                <w:szCs w:val="22"/>
              </w:rPr>
              <w:t xml:space="preserve">56,60%</w:t>
            </w:r>
          </w:p>
        </w:tc>
        <w:tc>
          <w:tcPr>
            <w:tcW w:type="dxa" w:w="2150"/>
            <w:vAlign w:val="center"/>
          </w:tcPr>
          <w:p>
            <w:pPr>
              <w:jc w:val="center"/>
            </w:pPr>
            <w:r>
              <w:rPr>
                <w:rFonts w:ascii="Times New Roman" w:cs="Times New Roman" w:eastAsia="Times New Roman" w:hAnsi="Times New Roman"/>
                <w:b w:val="false"/>
                <w:bCs w:val="false"/>
                <w:sz w:val="22"/>
                <w:szCs w:val="22"/>
              </w:rPr>
              <w:t xml:space="preserve">56,09%</w:t>
            </w:r>
          </w:p>
        </w:tc>
        <w:tc>
          <w:tcPr>
            <w:tcW w:type="dxa" w:w="2150"/>
            <w:vAlign w:val="center"/>
          </w:tcPr>
          <w:p>
            <w:pPr>
              <w:jc w:val="center"/>
            </w:pPr>
            <w:r>
              <w:rPr>
                <w:rFonts w:ascii="Times New Roman" w:cs="Times New Roman" w:eastAsia="Times New Roman" w:hAnsi="Times New Roman"/>
                <w:b w:val="false"/>
                <w:bCs w:val="false"/>
                <w:sz w:val="22"/>
                <w:szCs w:val="22"/>
              </w:rPr>
              <w:t xml:space="preserve">-0,51%</w:t>
            </w:r>
          </w:p>
        </w:tc>
      </w:tr>
      <w:tr>
        <w:tc>
          <w:tcPr>
            <w:tcW w:type="dxa" w:w="2900"/>
            <w:vAlign w:val="center"/>
          </w:tcPr>
          <w:p>
            <w:pPr>
              <w:jc w:val="center"/>
            </w:pPr>
            <w:r>
              <w:rPr>
                <w:rFonts w:ascii="Times New Roman" w:cs="Times New Roman" w:eastAsia="Times New Roman" w:hAnsi="Times New Roman"/>
                <w:b w:val="false"/>
                <w:bCs w:val="false"/>
                <w:sz w:val="22"/>
                <w:szCs w:val="22"/>
              </w:rPr>
              <w:t xml:space="preserve">Lâm Hà</w:t>
            </w:r>
          </w:p>
        </w:tc>
        <w:tc>
          <w:tcPr>
            <w:tcW w:type="dxa" w:w="2150"/>
            <w:vAlign w:val="center"/>
          </w:tcPr>
          <w:p>
            <w:pPr>
              <w:jc w:val="left"/>
            </w:pPr>
            <w:r>
              <w:rPr>
                <w:rFonts w:ascii="Times New Roman" w:cs="Times New Roman" w:eastAsia="Times New Roman" w:hAnsi="Times New Roman"/>
                <w:b w:val="false"/>
                <w:bCs w:val="false"/>
                <w:sz w:val="22"/>
                <w:szCs w:val="22"/>
              </w:rPr>
              <w:t xml:space="preserve">72,17%</w:t>
            </w:r>
          </w:p>
        </w:tc>
        <w:tc>
          <w:tcPr>
            <w:tcW w:type="dxa" w:w="2150"/>
            <w:vAlign w:val="center"/>
          </w:tcPr>
          <w:p>
            <w:pPr>
              <w:jc w:val="center"/>
            </w:pPr>
            <w:r>
              <w:rPr>
                <w:rFonts w:ascii="Times New Roman" w:cs="Times New Roman" w:eastAsia="Times New Roman" w:hAnsi="Times New Roman"/>
                <w:b w:val="false"/>
                <w:bCs w:val="false"/>
                <w:sz w:val="22"/>
                <w:szCs w:val="22"/>
              </w:rPr>
              <w:t xml:space="preserve">71,68%</w:t>
            </w:r>
          </w:p>
        </w:tc>
        <w:tc>
          <w:tcPr>
            <w:tcW w:type="dxa" w:w="2150"/>
            <w:vAlign w:val="center"/>
          </w:tcPr>
          <w:p>
            <w:pPr>
              <w:jc w:val="center"/>
            </w:pPr>
            <w:r>
              <w:rPr>
                <w:rFonts w:ascii="Times New Roman" w:cs="Times New Roman" w:eastAsia="Times New Roman" w:hAnsi="Times New Roman"/>
                <w:b w:val="false"/>
                <w:bCs w:val="false"/>
                <w:sz w:val="22"/>
                <w:szCs w:val="22"/>
              </w:rPr>
              <w:t xml:space="preserve">-0,49%</w:t>
            </w:r>
          </w:p>
        </w:tc>
      </w:tr>
      <w:tr>
        <w:tc>
          <w:tcPr>
            <w:tcW w:type="dxa" w:w="2900"/>
            <w:vAlign w:val="center"/>
          </w:tcPr>
          <w:p>
            <w:pPr>
              <w:jc w:val="center"/>
            </w:pPr>
            <w:r>
              <w:rPr>
                <w:rFonts w:ascii="Times New Roman" w:cs="Times New Roman" w:eastAsia="Times New Roman" w:hAnsi="Times New Roman"/>
                <w:b w:val="false"/>
                <w:bCs w:val="false"/>
                <w:sz w:val="22"/>
                <w:szCs w:val="22"/>
              </w:rPr>
              <w:t xml:space="preserve">Gia Nghĩa</w:t>
            </w:r>
          </w:p>
        </w:tc>
        <w:tc>
          <w:tcPr>
            <w:tcW w:type="dxa" w:w="2150"/>
            <w:vAlign w:val="center"/>
          </w:tcPr>
          <w:p>
            <w:pPr>
              <w:jc w:val="left"/>
            </w:pPr>
            <w:r>
              <w:rPr>
                <w:rFonts w:ascii="Times New Roman" w:cs="Times New Roman" w:eastAsia="Times New Roman" w:hAnsi="Times New Roman"/>
                <w:b w:val="false"/>
                <w:bCs w:val="false"/>
                <w:sz w:val="22"/>
                <w:szCs w:val="22"/>
              </w:rPr>
              <w:t xml:space="preserve">62,15%</w:t>
            </w:r>
          </w:p>
        </w:tc>
        <w:tc>
          <w:tcPr>
            <w:tcW w:type="dxa" w:w="2150"/>
            <w:vAlign w:val="center"/>
          </w:tcPr>
          <w:p>
            <w:pPr>
              <w:jc w:val="center"/>
            </w:pPr>
            <w:r>
              <w:rPr>
                <w:rFonts w:ascii="Times New Roman" w:cs="Times New Roman" w:eastAsia="Times New Roman" w:hAnsi="Times New Roman"/>
                <w:b w:val="false"/>
                <w:bCs w:val="false"/>
                <w:sz w:val="22"/>
                <w:szCs w:val="22"/>
              </w:rPr>
              <w:t xml:space="preserve">61,72%</w:t>
            </w:r>
          </w:p>
        </w:tc>
        <w:tc>
          <w:tcPr>
            <w:tcW w:type="dxa" w:w="2150"/>
            <w:vAlign w:val="center"/>
          </w:tcPr>
          <w:p>
            <w:pPr>
              <w:jc w:val="center"/>
            </w:pPr>
            <w:r>
              <w:rPr>
                <w:rFonts w:ascii="Times New Roman" w:cs="Times New Roman" w:eastAsia="Times New Roman" w:hAnsi="Times New Roman"/>
                <w:b w:val="false"/>
                <w:bCs w:val="false"/>
                <w:sz w:val="22"/>
                <w:szCs w:val="22"/>
              </w:rPr>
              <w:t xml:space="preserve">-0,43%</w:t>
            </w:r>
          </w:p>
        </w:tc>
      </w:tr>
    </w:tbl>
    <w:p>
      <w:pPr>
        <w:spacing w:after="160" w:line="360"/>
        <w:jc w:val="both"/>
      </w:pPr>
      <w:r>
        <w:rPr>
          <w:rFonts w:ascii="Times New Roman" w:cs="Times New Roman" w:eastAsia="Times New Roman" w:hAnsi="Times New Roman"/>
          <w:b w:val="false"/>
          <w:bCs w:val="false"/>
          <w:i w:val="false"/>
          <w:iCs w:val="false"/>
          <w:sz w:val="26"/>
          <w:szCs w:val="26"/>
        </w:rPr>
        <w:t xml:space="preserve">Đáng lưu ý, dù Lâm Hà và Phú Quý vẫn thuộc nhóm có tỷ lệ thu qua ngân hàng cao của toàn Công ty, nhưng lại là 2 trong số các đơn vị có xu hướng giảm – cần được nhắc nhở duy trì đà thu, tránh chủ quan.</w:t>
      </w:r>
    </w:p>
    <w:p>
      <w:pPr>
        <w:pStyle w:val="Heading1"/>
        <w:spacing w:after="160" w:before="240"/>
      </w:pPr>
      <w:r>
        <w:rPr>
          <w:rFonts w:ascii="Times New Roman" w:cs="Times New Roman" w:eastAsia="Times New Roman" w:hAnsi="Times New Roman"/>
          <w:b/>
          <w:bCs/>
          <w:sz w:val="28"/>
          <w:szCs w:val="28"/>
        </w:rPr>
        <w:t xml:space="preserve">6. Nhận xét và đề xuất</w:t>
      </w:r>
    </w:p>
    <w:p>
      <w:pPr>
        <w:spacing w:after="160" w:line="360"/>
        <w:jc w:val="left"/>
      </w:pPr>
      <w:r>
        <w:rPr>
          <w:rFonts w:ascii="Times New Roman" w:cs="Times New Roman" w:eastAsia="Times New Roman" w:hAnsi="Times New Roman"/>
          <w:b w:val="false"/>
          <w:bCs w:val="false"/>
          <w:i w:val="false"/>
          <w:iCs w:val="false"/>
          <w:sz w:val="26"/>
          <w:szCs w:val="26"/>
        </w:rPr>
        <w:t xml:space="preserve">1. Tỷ lệ thu qua ngân hàng toàn Công ty tuy có cải thiện nhẹ (+0,26 điểm %) nhưng tốc độ tăng còn rất chậm so với khoảng cách cần rút ngắn để đạt kế hoạch (-5,59 điểm %). Với tốc độ tăng như hiện tại, cần nhiều tháng liên tiếp mới có thể tiệm cận chỉ tiêu 60%.</w:t>
      </w:r>
    </w:p>
    <w:p>
      <w:pPr>
        <w:spacing w:after="160" w:line="360"/>
        <w:jc w:val="left"/>
      </w:pPr>
      <w:r>
        <w:rPr>
          <w:rFonts w:ascii="Times New Roman" w:cs="Times New Roman" w:eastAsia="Times New Roman" w:hAnsi="Times New Roman"/>
          <w:b w:val="false"/>
          <w:bCs w:val="false"/>
          <w:i w:val="false"/>
          <w:iCs w:val="false"/>
          <w:sz w:val="26"/>
          <w:szCs w:val="26"/>
        </w:rPr>
        <w:t xml:space="preserve">2. Nhóm đơn vị tại khu vực Bình Thuận (Tuy Phong, La Gi, Hàm Thuận Bắc, Đức Linh, Phan Thiết) và khu vực Đắk Nông (Krông Nô, Đắk Mil, Cư Jút) là nhóm có tỷ lệ thấp và cách xa kế hoạch nhất, cần được ưu tiên chỉ đạo, kiểm tra nguyên nhân (hạ tầng thanh toán, thói quen khách hàng, công tác tuyên truyền...).</w:t>
      </w:r>
    </w:p>
    <w:p>
      <w:pPr>
        <w:spacing w:after="160" w:line="360"/>
        <w:jc w:val="left"/>
      </w:pPr>
      <w:r>
        <w:rPr>
          <w:rFonts w:ascii="Times New Roman" w:cs="Times New Roman" w:eastAsia="Times New Roman" w:hAnsi="Times New Roman"/>
          <w:b w:val="false"/>
          <w:bCs w:val="false"/>
          <w:i w:val="false"/>
          <w:iCs w:val="false"/>
          <w:sz w:val="26"/>
          <w:szCs w:val="26"/>
        </w:rPr>
        <w:t xml:space="preserve">3. Kinh nghiệm của Bắc Bình (tăng đột biến +7,08%) nên được phân tích và phổ biến làm bài học cho các đơn vị khác.</w:t>
      </w:r>
    </w:p>
    <w:p>
      <w:pPr>
        <w:spacing w:after="160" w:line="360"/>
        <w:jc w:val="left"/>
      </w:pPr>
      <w:r>
        <w:rPr>
          <w:rFonts w:ascii="Times New Roman" w:cs="Times New Roman" w:eastAsia="Times New Roman" w:hAnsi="Times New Roman"/>
          <w:b w:val="false"/>
          <w:bCs w:val="false"/>
          <w:i w:val="false"/>
          <w:iCs w:val="false"/>
          <w:sz w:val="26"/>
          <w:szCs w:val="26"/>
        </w:rPr>
        <w:t xml:space="preserve">4. Cần có biện pháp giữ đà tăng đối với các đơn vị tốp đầu đang có dấu hiệu chững lại hoặc giảm nhẹ (Lâm Hà, Phú Quý, Đắk Song, Gia Nghĩa) để không bị tụt hạng.</w:t>
      </w:r>
    </w:p>
    <w:p>
      <w:pPr>
        <w:spacing w:before="400"/>
      </w:pPr>
      <w:r>
        <w:rPr>
          <w:sz w:val="2"/>
          <w:szCs w:val="2"/>
        </w:rPr>
        <w:t xml:space="preserve"/>
      </w:r>
    </w:p>
    <w:p>
      <w:pPr>
        <w:jc w:val="right"/>
      </w:pPr>
      <w:r>
        <w:rPr>
          <w:rFonts w:ascii="Times New Roman" w:cs="Times New Roman" w:eastAsia="Times New Roman" w:hAnsi="Times New Roman"/>
          <w:i/>
          <w:iCs/>
          <w:sz w:val="24"/>
          <w:szCs w:val="24"/>
        </w:rPr>
        <w:t xml:space="preserve">Đà Lạt, ngày 07 tháng 09 năm 2026</w:t>
      </w:r>
    </w:p>
    <w:p>
      <w:pPr>
        <w:spacing w:after="900"/>
        <w:jc w:val="right"/>
      </w:pPr>
      <w:r>
        <w:rPr>
          <w:rFonts w:ascii="Times New Roman" w:cs="Times New Roman" w:eastAsia="Times New Roman" w:hAnsi="Times New Roman"/>
          <w:b/>
          <w:bCs/>
          <w:sz w:val="24"/>
          <w:szCs w:val="24"/>
        </w:rPr>
        <w:t xml:space="preserve">Người lập báo cáo</w:t>
      </w:r>
    </w:p>
    <w:sectPr>
      <w:pgSz w:w="11907" w:h="16840"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2026-09-07T03:45:46.117Z</dcterms:created>
  <dcterms:modified xsi:type="dcterms:W3CDTF">2026-09-07T03:45:46.132Z</dcterms:modified>
</cp:coreProperties>
</file>

<file path=docProps/custom.xml><?xml version="1.0" encoding="utf-8"?>
<Properties xmlns="http://schemas.openxmlformats.org/officeDocument/2006/custom-properties" xmlns:vt="http://schemas.openxmlformats.org/officeDocument/2006/docPropsVTypes"/>
</file>