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63" w:rsidRPr="00EC2E3F" w:rsidRDefault="00EC2E3F" w:rsidP="00EC2E3F">
      <w:pPr>
        <w:spacing w:after="0"/>
        <w:jc w:val="center"/>
        <w:rPr>
          <w:rFonts w:asciiTheme="majorHAnsi" w:hAnsiTheme="majorHAnsi" w:cstheme="majorHAnsi"/>
          <w:sz w:val="28"/>
          <w:szCs w:val="24"/>
        </w:rPr>
      </w:pPr>
      <w:proofErr w:type="spellStart"/>
      <w:r>
        <w:rPr>
          <w:rFonts w:asciiTheme="majorHAnsi" w:hAnsiTheme="majorHAnsi" w:cstheme="majorHAnsi"/>
          <w:b/>
          <w:color w:val="FF0000"/>
          <w:sz w:val="24"/>
          <w:szCs w:val="24"/>
        </w:rPr>
        <w:t>Đáp</w:t>
      </w:r>
      <w:proofErr w:type="spellEnd"/>
      <w:r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FF0000"/>
          <w:sz w:val="24"/>
          <w:szCs w:val="24"/>
        </w:rPr>
        <w:t>án</w:t>
      </w:r>
      <w:proofErr w:type="spellEnd"/>
      <w:r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FF0000"/>
          <w:sz w:val="24"/>
          <w:szCs w:val="24"/>
        </w:rPr>
        <w:t>t</w:t>
      </w:r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>hi</w:t>
      </w:r>
      <w:proofErr w:type="spellEnd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HKII – </w:t>
      </w:r>
      <w:proofErr w:type="spellStart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>vật</w:t>
      </w:r>
      <w:proofErr w:type="spellEnd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proofErr w:type="spellStart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>lý</w:t>
      </w:r>
      <w:proofErr w:type="spellEnd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11 (</w:t>
      </w:r>
      <w:proofErr w:type="spellStart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>năm</w:t>
      </w:r>
      <w:proofErr w:type="spellEnd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proofErr w:type="spellStart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>học</w:t>
      </w:r>
      <w:proofErr w:type="spellEnd"/>
      <w:r w:rsidR="00991463" w:rsidRPr="00991463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2015-2016)</w:t>
      </w:r>
    </w:p>
    <w:tbl>
      <w:tblPr>
        <w:tblStyle w:val="TableGrid"/>
        <w:tblW w:w="1117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45"/>
        <w:gridCol w:w="9523"/>
        <w:gridCol w:w="810"/>
      </w:tblGrid>
      <w:tr w:rsidR="0022640B" w:rsidRPr="0066775F" w:rsidTr="007A5126">
        <w:tc>
          <w:tcPr>
            <w:tcW w:w="845" w:type="dxa"/>
            <w:shd w:val="clear" w:color="auto" w:fill="D99594" w:themeFill="accent2" w:themeFillTint="99"/>
          </w:tcPr>
          <w:p w:rsidR="0022640B" w:rsidRPr="0066775F" w:rsidRDefault="0022640B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9523" w:type="dxa"/>
            <w:shd w:val="clear" w:color="auto" w:fill="D99594" w:themeFill="accent2" w:themeFillTint="99"/>
          </w:tcPr>
          <w:p w:rsidR="0022640B" w:rsidRPr="0066775F" w:rsidRDefault="0022640B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810" w:type="dxa"/>
            <w:shd w:val="clear" w:color="auto" w:fill="D99594" w:themeFill="accent2" w:themeFillTint="99"/>
            <w:vAlign w:val="center"/>
          </w:tcPr>
          <w:p w:rsidR="0022640B" w:rsidRPr="0066775F" w:rsidRDefault="0022640B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22640B" w:rsidRPr="0066775F" w:rsidTr="0066775F">
        <w:tc>
          <w:tcPr>
            <w:tcW w:w="845" w:type="dxa"/>
            <w:vAlign w:val="center"/>
          </w:tcPr>
          <w:p w:rsidR="0022640B" w:rsidRPr="0066775F" w:rsidRDefault="00991463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83D63" w:rsidRPr="0066775F" w:rsidRDefault="00183D63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66775F"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đ)</w:t>
            </w:r>
          </w:p>
        </w:tc>
        <w:tc>
          <w:tcPr>
            <w:tcW w:w="9523" w:type="dxa"/>
          </w:tcPr>
          <w:p w:rsidR="00183D63" w:rsidRPr="0066775F" w:rsidRDefault="00183D63" w:rsidP="00183D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183D63" w:rsidRPr="0066775F" w:rsidRDefault="00183D63" w:rsidP="00183D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3D63" w:rsidRPr="0066775F" w:rsidRDefault="00183D63" w:rsidP="00183D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proofErr w:type="gram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Fu-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cô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1463" w:rsidRPr="0066775F" w:rsidRDefault="00183D63" w:rsidP="00183D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Fu-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cô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Phanh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bếp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lò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10" w:type="dxa"/>
          </w:tcPr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640B" w:rsidRPr="0066775F" w:rsidRDefault="0066775F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3D63" w:rsidRPr="006677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D63" w:rsidRPr="0066775F" w:rsidRDefault="0066775F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3D63" w:rsidRPr="006677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D63" w:rsidRPr="0066775F" w:rsidRDefault="00183D63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D63" w:rsidRPr="0066775F" w:rsidRDefault="0066775F" w:rsidP="00183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3D63" w:rsidRPr="006677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640B" w:rsidRPr="0066775F" w:rsidTr="0066775F">
        <w:tc>
          <w:tcPr>
            <w:tcW w:w="845" w:type="dxa"/>
            <w:vAlign w:val="center"/>
          </w:tcPr>
          <w:p w:rsidR="0022640B" w:rsidRPr="0066775F" w:rsidRDefault="0066775F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6775F" w:rsidRPr="0066775F" w:rsidRDefault="0066775F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(2 đ)</w:t>
            </w:r>
          </w:p>
        </w:tc>
        <w:tc>
          <w:tcPr>
            <w:tcW w:w="9523" w:type="dxa"/>
          </w:tcPr>
          <w:p w:rsidR="0022640B" w:rsidRPr="0066775F" w:rsidRDefault="0066775F" w:rsidP="0066775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  <w:proofErr w:type="spellEnd"/>
            <w:proofErr w:type="gram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khúc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775F" w:rsidRDefault="0066775F" w:rsidP="0066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xảy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phản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xạ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ind w:firstLine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chiết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(n</w:t>
            </w:r>
            <w:r w:rsidRPr="006677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&gt; n</w:t>
            </w:r>
            <w:r w:rsidRPr="006677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ind w:firstLine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&gt;=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677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gh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775F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219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0pt" o:ole="" o:bordertopcolor="this" o:borderleftcolor="this" o:borderbottomcolor="this" o:borderrightcolor="this">
                  <v:imagedata r:id="rId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5" DrawAspect="Content" ObjectID="_1522824815" r:id="rId7"/>
              </w:object>
            </w:r>
          </w:p>
          <w:p w:rsidR="0066775F" w:rsidRDefault="0066775F" w:rsidP="0066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Ứng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phản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xạ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667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* y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soi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6775F" w:rsidRPr="0066775F" w:rsidRDefault="0066775F" w:rsidP="0066775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proofErr w:type="gram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tin (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677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10" w:type="dxa"/>
          </w:tcPr>
          <w:p w:rsidR="0022640B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75F" w:rsidRPr="0066775F" w:rsidRDefault="0066775F" w:rsidP="0066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91463" w:rsidRPr="0066775F" w:rsidTr="00210CFB">
        <w:tc>
          <w:tcPr>
            <w:tcW w:w="845" w:type="dxa"/>
            <w:vAlign w:val="center"/>
          </w:tcPr>
          <w:p w:rsidR="00991463" w:rsidRDefault="00210CFB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10CFB" w:rsidRPr="0066775F" w:rsidRDefault="00210CFB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đ)</w:t>
            </w:r>
          </w:p>
        </w:tc>
        <w:tc>
          <w:tcPr>
            <w:tcW w:w="9523" w:type="dxa"/>
          </w:tcPr>
          <w:p w:rsidR="002E66A1" w:rsidRPr="002E66A1" w:rsidRDefault="00210CFB" w:rsidP="002E66A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Lăng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thấu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proofErr w:type="gram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khúc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="002E66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0CFB" w:rsidRPr="002E66A1" w:rsidRDefault="00210CFB" w:rsidP="002E66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lăng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proofErr w:type="gram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lăng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nhòm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tiềm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210CFB" w:rsidRPr="002E66A1" w:rsidRDefault="00210CFB" w:rsidP="00210CF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10CFB" w:rsidRPr="002E66A1" w:rsidRDefault="00210CFB" w:rsidP="00210C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66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66A1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160" w:dyaOrig="660">
                <v:shape id="_x0000_i1026" type="#_x0000_t75" style="width:57.75pt;height:33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6" DrawAspect="Content" ObjectID="_1522824816" r:id="rId9"/>
              </w:object>
            </w:r>
          </w:p>
          <w:p w:rsidR="00210CFB" w:rsidRPr="002E66A1" w:rsidRDefault="00210CFB" w:rsidP="00210CFB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FB" w:rsidRPr="002E66A1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10CFB" w:rsidRPr="002E66A1" w:rsidRDefault="00210CFB" w:rsidP="00210CF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6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66A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59" w:dyaOrig="620">
                <v:shape id="_x0000_i1027" type="#_x0000_t75" style="width:42.75pt;height:30.75pt" o:ole="" o:bordertopcolor="this" o:borderleftcolor="this" o:borderbottomcolor="this" o:borderrightcolor="this">
                  <v:imagedata r:id="rId1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7" DrawAspect="Content" ObjectID="_1522824817" r:id="rId11"/>
              </w:object>
            </w:r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E66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66A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60" w:dyaOrig="660">
                <v:shape id="_x0000_i1028" type="#_x0000_t75" style="width:48pt;height:33pt" o:ole="" o:bordertopcolor="this" o:borderleftcolor="this" o:borderbottomcolor="this" o:borderrightcolor="this">
                  <v:imagedata r:id="rId1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8" DrawAspect="Content" ObjectID="_1522824818" r:id="rId13"/>
              </w:object>
            </w:r>
          </w:p>
          <w:p w:rsidR="00E22AC3" w:rsidRPr="002E66A1" w:rsidRDefault="00E22AC3" w:rsidP="00E22AC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2E66A1">
              <w:rPr>
                <w:rFonts w:ascii="Times New Roman" w:hAnsi="Times New Roman" w:cs="Times New Roman"/>
                <w:sz w:val="24"/>
                <w:szCs w:val="24"/>
              </w:rPr>
              <w:t xml:space="preserve">: d = 2f </w:t>
            </w:r>
          </w:p>
          <w:p w:rsidR="00E22AC3" w:rsidRPr="00E22AC3" w:rsidRDefault="00E22AC3" w:rsidP="00E22AC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FB" w:rsidRDefault="00E22AC3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10C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82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66A1" w:rsidRDefault="002E66A1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2F0" w:rsidRDefault="003822F0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FB" w:rsidRDefault="00210CFB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E22AC3" w:rsidRDefault="00E22AC3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C3" w:rsidRPr="0066775F" w:rsidRDefault="00E22AC3" w:rsidP="00210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91463" w:rsidRPr="0066775F" w:rsidTr="00037EFC">
        <w:tc>
          <w:tcPr>
            <w:tcW w:w="845" w:type="dxa"/>
            <w:vAlign w:val="center"/>
          </w:tcPr>
          <w:p w:rsidR="00991463" w:rsidRPr="00B01D8D" w:rsidRDefault="002E66A1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  <w:p w:rsidR="002E66A1" w:rsidRPr="00B01D8D" w:rsidRDefault="002E66A1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(2 đ)</w:t>
            </w:r>
          </w:p>
        </w:tc>
        <w:tc>
          <w:tcPr>
            <w:tcW w:w="9523" w:type="dxa"/>
          </w:tcPr>
          <w:p w:rsidR="00991463" w:rsidRPr="00B01D8D" w:rsidRDefault="0006720C" w:rsidP="009914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khúc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.sini = n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.sinr</w:t>
            </w:r>
          </w:p>
          <w:p w:rsidR="0006720C" w:rsidRPr="00B01D8D" w:rsidRDefault="0006720C" w:rsidP="009914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. sin30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= 1. sin60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06720C" w:rsidRPr="00B01D8D" w:rsidRDefault="0006720C" w:rsidP="009914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&gt; n</w:t>
            </w:r>
            <w:r w:rsidR="00360003"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= 1 (</w:t>
            </w:r>
            <w:proofErr w:type="spellStart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>đk</w:t>
            </w:r>
            <w:proofErr w:type="spellEnd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="00360003" w:rsidRPr="00B01D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60003" w:rsidRPr="00B01D8D" w:rsidRDefault="00360003" w:rsidP="0099146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1D8D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r w:rsidRPr="00B01D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gh</w:t>
            </w:r>
            <w:proofErr w:type="spellEnd"/>
            <w:r w:rsidRPr="00B01D8D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B01D8D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oMath>
            <w:r w:rsidRPr="00B01D8D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den>
              </m:f>
            </m:oMath>
          </w:p>
          <w:p w:rsidR="00360003" w:rsidRPr="00B01D8D" w:rsidRDefault="00360003" w:rsidP="0099146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1D8D">
              <w:rPr>
                <w:rFonts w:ascii="Times New Roman" w:hAnsi="Times New Roman" w:cs="Times New Roman"/>
              </w:rPr>
              <w:t>i</w:t>
            </w:r>
            <w:r w:rsidRPr="00B01D8D">
              <w:rPr>
                <w:rFonts w:ascii="Times New Roman" w:hAnsi="Times New Roman" w:cs="Times New Roman"/>
                <w:vertAlign w:val="subscript"/>
              </w:rPr>
              <w:t>gh</w:t>
            </w:r>
            <w:proofErr w:type="spellEnd"/>
            <w:r w:rsidRPr="00B01D8D">
              <w:rPr>
                <w:rFonts w:ascii="Times New Roman" w:hAnsi="Times New Roman" w:cs="Times New Roman"/>
              </w:rPr>
              <w:t>= 35</w:t>
            </w:r>
            <w:r w:rsidRPr="00B01D8D">
              <w:rPr>
                <w:rFonts w:ascii="Times New Roman" w:hAnsi="Times New Roman" w:cs="Times New Roman"/>
                <w:vertAlign w:val="superscript"/>
              </w:rPr>
              <w:t>0</w:t>
            </w:r>
            <w:r w:rsidRPr="00B01D8D">
              <w:rPr>
                <w:rFonts w:ascii="Times New Roman" w:hAnsi="Times New Roman" w:cs="Times New Roman"/>
              </w:rPr>
              <w:t xml:space="preserve"> 15’</w:t>
            </w:r>
          </w:p>
          <w:p w:rsidR="00360003" w:rsidRPr="00B01D8D" w:rsidRDefault="00360003" w:rsidP="0099146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1D8D">
              <w:rPr>
                <w:rFonts w:ascii="Times New Roman" w:hAnsi="Times New Roman" w:cs="Times New Roman"/>
              </w:rPr>
              <w:t>Vì</w:t>
            </w:r>
            <w:proofErr w:type="spellEnd"/>
            <w:r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1D8D">
              <w:rPr>
                <w:rFonts w:ascii="Times New Roman" w:hAnsi="Times New Roman" w:cs="Times New Roman"/>
              </w:rPr>
              <w:t>i</w:t>
            </w:r>
            <w:proofErr w:type="spellEnd"/>
            <w:r w:rsidRPr="00B01D8D">
              <w:rPr>
                <w:rFonts w:ascii="Times New Roman" w:hAnsi="Times New Roman" w:cs="Times New Roman"/>
              </w:rPr>
              <w:t xml:space="preserve"> = 30</w:t>
            </w:r>
            <w:r w:rsidRPr="00B01D8D">
              <w:rPr>
                <w:rFonts w:ascii="Times New Roman" w:hAnsi="Times New Roman" w:cs="Times New Roman"/>
                <w:vertAlign w:val="superscript"/>
              </w:rPr>
              <w:t>0</w:t>
            </w:r>
            <w:r w:rsidRPr="00B01D8D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B01D8D">
              <w:rPr>
                <w:rFonts w:ascii="Times New Roman" w:hAnsi="Times New Roman" w:cs="Times New Roman"/>
              </w:rPr>
              <w:t>i</w:t>
            </w:r>
            <w:r w:rsidRPr="00B01D8D">
              <w:rPr>
                <w:rFonts w:ascii="Times New Roman" w:hAnsi="Times New Roman" w:cs="Times New Roman"/>
                <w:vertAlign w:val="subscript"/>
              </w:rPr>
              <w:t>gh</w:t>
            </w:r>
            <w:proofErr w:type="spellEnd"/>
            <w:r w:rsidRPr="00B01D8D">
              <w:rPr>
                <w:rFonts w:ascii="Times New Roman" w:hAnsi="Times New Roman" w:cs="Times New Roman"/>
              </w:rPr>
              <w:t xml:space="preserve">= </w:t>
            </w:r>
            <w:r w:rsidR="00867A08" w:rsidRPr="00B01D8D">
              <w:rPr>
                <w:rFonts w:ascii="Times New Roman" w:hAnsi="Times New Roman" w:cs="Times New Roman"/>
              </w:rPr>
              <w:t>35</w:t>
            </w:r>
            <w:r w:rsidR="00867A08" w:rsidRPr="00B01D8D">
              <w:rPr>
                <w:rFonts w:ascii="Times New Roman" w:hAnsi="Times New Roman" w:cs="Times New Roman"/>
                <w:vertAlign w:val="superscript"/>
              </w:rPr>
              <w:t>0</w:t>
            </w:r>
            <w:r w:rsidR="00867A08" w:rsidRPr="00B01D8D">
              <w:rPr>
                <w:rFonts w:ascii="Times New Roman" w:hAnsi="Times New Roman" w:cs="Times New Roman"/>
              </w:rPr>
              <w:t xml:space="preserve"> 15’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nên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không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xảy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ra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hiện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tượng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phản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xạ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toàn</w:t>
            </w:r>
            <w:proofErr w:type="spellEnd"/>
            <w:r w:rsidR="00867A08" w:rsidRPr="00B01D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A08" w:rsidRPr="00B01D8D">
              <w:rPr>
                <w:rFonts w:ascii="Times New Roman" w:hAnsi="Times New Roman" w:cs="Times New Roman"/>
              </w:rPr>
              <w:t>phần</w:t>
            </w:r>
            <w:proofErr w:type="spellEnd"/>
          </w:p>
          <w:p w:rsidR="00360003" w:rsidRPr="00B01D8D" w:rsidRDefault="00360003" w:rsidP="009914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1463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37EFC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37EFC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C21476" w:rsidRDefault="00C21476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EFC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037EFC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37EFC" w:rsidRPr="0066775F" w:rsidRDefault="00037EFC" w:rsidP="00037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91463" w:rsidRPr="0066775F" w:rsidTr="00892693">
        <w:tc>
          <w:tcPr>
            <w:tcW w:w="845" w:type="dxa"/>
            <w:vAlign w:val="center"/>
          </w:tcPr>
          <w:p w:rsidR="00991463" w:rsidRDefault="00F65C95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65C95" w:rsidRPr="0066775F" w:rsidRDefault="00F65C95" w:rsidP="00991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đ)</w:t>
            </w:r>
          </w:p>
        </w:tc>
        <w:tc>
          <w:tcPr>
            <w:tcW w:w="9523" w:type="dxa"/>
          </w:tcPr>
          <w:p w:rsidR="00991463" w:rsidRDefault="00EC2E3F" w:rsidP="00EC2E3F">
            <w:pPr>
              <w:pStyle w:val="ListParagraph"/>
              <w:numPr>
                <w:ilvl w:val="0"/>
                <w:numId w:val="11"/>
              </w:numPr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A’B’</w:t>
            </w:r>
          </w:p>
          <w:p w:rsidR="00EC2E3F" w:rsidRDefault="00EC2E3F" w:rsidP="00EC2E3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E3F" w:rsidRDefault="00EC2E3F" w:rsidP="00EC2E3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="00BE2246">
              <w:rPr>
                <w:rFonts w:ascii="Times New Roman" w:hAnsi="Times New Roman" w:cs="Times New Roman"/>
                <w:sz w:val="24"/>
                <w:szCs w:val="24"/>
              </w:rPr>
              <w:t xml:space="preserve"> D = 5dp =&gt; f = 1/D = 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E2246">
              <w:rPr>
                <w:rFonts w:ascii="Times New Roman" w:hAnsi="Times New Roman" w:cs="Times New Roman"/>
                <w:sz w:val="24"/>
                <w:szCs w:val="24"/>
              </w:rPr>
              <w:t xml:space="preserve"> = 20cm</w:t>
            </w:r>
          </w:p>
          <w:p w:rsidR="00EC2E3F" w:rsidRDefault="00EC2E3F" w:rsidP="00EC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EC2E3F">
              <w:rPr>
                <w:rFonts w:ascii="Times New Roman" w:hAnsi="Times New Roman" w:cs="Times New Roman"/>
                <w:sz w:val="24"/>
                <w:szCs w:val="24"/>
              </w:rPr>
              <w:t>: 1/f = 1/d + 1/d’</w:t>
            </w:r>
          </w:p>
          <w:p w:rsidR="00EC2E3F" w:rsidRDefault="00EC2E3F" w:rsidP="00EC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 20 = 1/15 + 1/d’ =&gt; d’ = -60cm</w:t>
            </w:r>
          </w:p>
          <w:p w:rsidR="00EC2E3F" w:rsidRDefault="00EC2E3F" w:rsidP="00EC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A’B’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60cm</w:t>
            </w:r>
          </w:p>
          <w:p w:rsidR="00B01D8D" w:rsidRDefault="00B01D8D" w:rsidP="00EC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E3F" w:rsidRDefault="00EC2E3F" w:rsidP="00EC2E3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="001B48C9">
              <w:rPr>
                <w:rFonts w:ascii="Times New Roman" w:hAnsi="Times New Roman" w:cs="Times New Roman"/>
                <w:sz w:val="24"/>
                <w:szCs w:val="24"/>
              </w:rPr>
              <w:t>: k = -d’/d = -(-60)/</w:t>
            </w:r>
            <w:r w:rsidR="00BE2246">
              <w:rPr>
                <w:rFonts w:ascii="Times New Roman" w:hAnsi="Times New Roman" w:cs="Times New Roman"/>
                <w:sz w:val="24"/>
                <w:szCs w:val="24"/>
              </w:rPr>
              <w:t>15 = 4</w:t>
            </w:r>
          </w:p>
          <w:p w:rsidR="00B01D8D" w:rsidRDefault="00B01D8D" w:rsidP="00B01D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E3F" w:rsidRPr="00B01D8D" w:rsidRDefault="00BE2246" w:rsidP="00B01D8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A’B’</w:t>
            </w:r>
            <w:r w:rsidR="00B01D8D">
              <w:rPr>
                <w:rFonts w:ascii="Times New Roman" w:hAnsi="Times New Roman" w:cs="Times New Roman"/>
                <w:sz w:val="24"/>
                <w:szCs w:val="24"/>
              </w:rPr>
              <w:t xml:space="preserve"> = 2.4 = 8cm</w:t>
            </w:r>
          </w:p>
        </w:tc>
        <w:tc>
          <w:tcPr>
            <w:tcW w:w="810" w:type="dxa"/>
          </w:tcPr>
          <w:p w:rsidR="00991463" w:rsidRDefault="00EC2E3F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EC2E3F" w:rsidRDefault="00EC2E3F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82F" w:rsidRDefault="001A782F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693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2693" w:rsidRPr="0066775F" w:rsidRDefault="00892693" w:rsidP="00892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22640B" w:rsidRPr="00A83C9B" w:rsidRDefault="0022640B" w:rsidP="0022640B">
      <w:pPr>
        <w:rPr>
          <w:rFonts w:asciiTheme="majorHAnsi" w:hAnsiTheme="majorHAnsi" w:cstheme="majorHAnsi"/>
          <w:sz w:val="24"/>
          <w:szCs w:val="24"/>
        </w:rPr>
      </w:pPr>
    </w:p>
    <w:p w:rsidR="00564A0C" w:rsidRDefault="00564A0C" w:rsidP="00180E18">
      <w:pPr>
        <w:tabs>
          <w:tab w:val="left" w:pos="7080"/>
        </w:tabs>
      </w:pPr>
    </w:p>
    <w:sectPr w:rsidR="00564A0C" w:rsidSect="00EC2E3F">
      <w:pgSz w:w="12240" w:h="15840" w:code="1"/>
      <w:pgMar w:top="270" w:right="72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B9E"/>
    <w:multiLevelType w:val="hybridMultilevel"/>
    <w:tmpl w:val="BD26E908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4F4C"/>
    <w:multiLevelType w:val="hybridMultilevel"/>
    <w:tmpl w:val="DF56738A"/>
    <w:lvl w:ilvl="0" w:tplc="D63093E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01A25"/>
    <w:multiLevelType w:val="hybridMultilevel"/>
    <w:tmpl w:val="5AC25B48"/>
    <w:lvl w:ilvl="0" w:tplc="6CEE73AE">
      <w:start w:val="1"/>
      <w:numFmt w:val="lowerLetter"/>
      <w:lvlText w:val="%1.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1D12A06"/>
    <w:multiLevelType w:val="hybridMultilevel"/>
    <w:tmpl w:val="A33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53EA7"/>
    <w:multiLevelType w:val="hybridMultilevel"/>
    <w:tmpl w:val="664C096A"/>
    <w:lvl w:ilvl="0" w:tplc="1CF65078">
      <w:numFmt w:val="bullet"/>
      <w:lvlText w:val="-"/>
      <w:lvlJc w:val="left"/>
      <w:pPr>
        <w:ind w:left="45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5">
    <w:nsid w:val="1B8458AB"/>
    <w:multiLevelType w:val="hybridMultilevel"/>
    <w:tmpl w:val="E346793A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868DE"/>
    <w:multiLevelType w:val="hybridMultilevel"/>
    <w:tmpl w:val="A290F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2A325A"/>
    <w:multiLevelType w:val="hybridMultilevel"/>
    <w:tmpl w:val="B588A51C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A234F"/>
    <w:multiLevelType w:val="hybridMultilevel"/>
    <w:tmpl w:val="103C4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57D84"/>
    <w:multiLevelType w:val="hybridMultilevel"/>
    <w:tmpl w:val="98AA2C7C"/>
    <w:lvl w:ilvl="0" w:tplc="CECE2B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C"/>
    <w:rsid w:val="00003EDC"/>
    <w:rsid w:val="000068B2"/>
    <w:rsid w:val="00006C0F"/>
    <w:rsid w:val="00025070"/>
    <w:rsid w:val="0002635D"/>
    <w:rsid w:val="00035F20"/>
    <w:rsid w:val="00037EFC"/>
    <w:rsid w:val="00040B1F"/>
    <w:rsid w:val="00043790"/>
    <w:rsid w:val="00043D5E"/>
    <w:rsid w:val="0006720C"/>
    <w:rsid w:val="00092F88"/>
    <w:rsid w:val="00096AE6"/>
    <w:rsid w:val="000A26A4"/>
    <w:rsid w:val="000B0842"/>
    <w:rsid w:val="000C5E6B"/>
    <w:rsid w:val="000E3E9D"/>
    <w:rsid w:val="000E747F"/>
    <w:rsid w:val="000F3579"/>
    <w:rsid w:val="0010408C"/>
    <w:rsid w:val="00113F6A"/>
    <w:rsid w:val="00115E6F"/>
    <w:rsid w:val="001201D9"/>
    <w:rsid w:val="001221C9"/>
    <w:rsid w:val="0015014C"/>
    <w:rsid w:val="00153EE0"/>
    <w:rsid w:val="00161891"/>
    <w:rsid w:val="0016687E"/>
    <w:rsid w:val="00167576"/>
    <w:rsid w:val="00167637"/>
    <w:rsid w:val="00180E18"/>
    <w:rsid w:val="00182090"/>
    <w:rsid w:val="00183D63"/>
    <w:rsid w:val="00195E17"/>
    <w:rsid w:val="0019786E"/>
    <w:rsid w:val="001A0D98"/>
    <w:rsid w:val="001A782F"/>
    <w:rsid w:val="001B48C9"/>
    <w:rsid w:val="001C1CBE"/>
    <w:rsid w:val="001D62CD"/>
    <w:rsid w:val="00206CD4"/>
    <w:rsid w:val="00210CFB"/>
    <w:rsid w:val="00214DA6"/>
    <w:rsid w:val="002155EE"/>
    <w:rsid w:val="0022094B"/>
    <w:rsid w:val="0022640B"/>
    <w:rsid w:val="002633DB"/>
    <w:rsid w:val="002A5641"/>
    <w:rsid w:val="002B0DBD"/>
    <w:rsid w:val="002B594C"/>
    <w:rsid w:val="002B60CF"/>
    <w:rsid w:val="002B631A"/>
    <w:rsid w:val="002C310E"/>
    <w:rsid w:val="002C5957"/>
    <w:rsid w:val="002E66A1"/>
    <w:rsid w:val="002F51EE"/>
    <w:rsid w:val="00310107"/>
    <w:rsid w:val="003123B5"/>
    <w:rsid w:val="003145AD"/>
    <w:rsid w:val="00320581"/>
    <w:rsid w:val="0033688A"/>
    <w:rsid w:val="00337F0D"/>
    <w:rsid w:val="0034280C"/>
    <w:rsid w:val="0034754C"/>
    <w:rsid w:val="00347BA4"/>
    <w:rsid w:val="00350424"/>
    <w:rsid w:val="00356C01"/>
    <w:rsid w:val="00360003"/>
    <w:rsid w:val="003822F0"/>
    <w:rsid w:val="003B2469"/>
    <w:rsid w:val="003C2229"/>
    <w:rsid w:val="003D1061"/>
    <w:rsid w:val="003D7E33"/>
    <w:rsid w:val="003E397F"/>
    <w:rsid w:val="003F3020"/>
    <w:rsid w:val="003F36D4"/>
    <w:rsid w:val="00422E81"/>
    <w:rsid w:val="00436EB3"/>
    <w:rsid w:val="00440B7D"/>
    <w:rsid w:val="00465B98"/>
    <w:rsid w:val="00481B91"/>
    <w:rsid w:val="004B217E"/>
    <w:rsid w:val="004C1D00"/>
    <w:rsid w:val="004D14C5"/>
    <w:rsid w:val="004F469A"/>
    <w:rsid w:val="0051431C"/>
    <w:rsid w:val="00524BE7"/>
    <w:rsid w:val="005566A7"/>
    <w:rsid w:val="00564A0C"/>
    <w:rsid w:val="00564F82"/>
    <w:rsid w:val="00570CB0"/>
    <w:rsid w:val="00572629"/>
    <w:rsid w:val="005866EE"/>
    <w:rsid w:val="00592010"/>
    <w:rsid w:val="00596E13"/>
    <w:rsid w:val="005A2490"/>
    <w:rsid w:val="005A5221"/>
    <w:rsid w:val="005B283C"/>
    <w:rsid w:val="005B2D30"/>
    <w:rsid w:val="005C7571"/>
    <w:rsid w:val="005D5E7A"/>
    <w:rsid w:val="005D6DC1"/>
    <w:rsid w:val="006007A6"/>
    <w:rsid w:val="00610D05"/>
    <w:rsid w:val="0061288E"/>
    <w:rsid w:val="00615BA0"/>
    <w:rsid w:val="006279DB"/>
    <w:rsid w:val="006305AA"/>
    <w:rsid w:val="0065109C"/>
    <w:rsid w:val="0066775F"/>
    <w:rsid w:val="006D1C12"/>
    <w:rsid w:val="006E5AC1"/>
    <w:rsid w:val="006F52CC"/>
    <w:rsid w:val="006F57A5"/>
    <w:rsid w:val="006F580A"/>
    <w:rsid w:val="007020B7"/>
    <w:rsid w:val="00712CB3"/>
    <w:rsid w:val="00722A7C"/>
    <w:rsid w:val="00741BA9"/>
    <w:rsid w:val="007449E5"/>
    <w:rsid w:val="00750D0A"/>
    <w:rsid w:val="0075194D"/>
    <w:rsid w:val="00755606"/>
    <w:rsid w:val="00783AF0"/>
    <w:rsid w:val="007905C7"/>
    <w:rsid w:val="007A4756"/>
    <w:rsid w:val="007A5126"/>
    <w:rsid w:val="007A5405"/>
    <w:rsid w:val="007C2F9C"/>
    <w:rsid w:val="007C73D2"/>
    <w:rsid w:val="007F1E39"/>
    <w:rsid w:val="007F20B2"/>
    <w:rsid w:val="00814653"/>
    <w:rsid w:val="00836B10"/>
    <w:rsid w:val="008461A9"/>
    <w:rsid w:val="008566F3"/>
    <w:rsid w:val="00863793"/>
    <w:rsid w:val="00866CED"/>
    <w:rsid w:val="00867A08"/>
    <w:rsid w:val="00881730"/>
    <w:rsid w:val="008843C9"/>
    <w:rsid w:val="008863F2"/>
    <w:rsid w:val="00892693"/>
    <w:rsid w:val="00893EAC"/>
    <w:rsid w:val="00894563"/>
    <w:rsid w:val="00896BDE"/>
    <w:rsid w:val="008A1D9C"/>
    <w:rsid w:val="008B0F99"/>
    <w:rsid w:val="008C6449"/>
    <w:rsid w:val="008D02CA"/>
    <w:rsid w:val="008D19DF"/>
    <w:rsid w:val="008D2020"/>
    <w:rsid w:val="008D5D7E"/>
    <w:rsid w:val="008E61A8"/>
    <w:rsid w:val="008F035C"/>
    <w:rsid w:val="00906F3F"/>
    <w:rsid w:val="00943E39"/>
    <w:rsid w:val="00950B97"/>
    <w:rsid w:val="0095314B"/>
    <w:rsid w:val="00957D41"/>
    <w:rsid w:val="00963E08"/>
    <w:rsid w:val="00965DAA"/>
    <w:rsid w:val="009709BB"/>
    <w:rsid w:val="00984A1B"/>
    <w:rsid w:val="00991463"/>
    <w:rsid w:val="009A1530"/>
    <w:rsid w:val="009A3E15"/>
    <w:rsid w:val="009B0D50"/>
    <w:rsid w:val="009B1773"/>
    <w:rsid w:val="009C2C57"/>
    <w:rsid w:val="009E17F0"/>
    <w:rsid w:val="009E6ED6"/>
    <w:rsid w:val="00A11EFC"/>
    <w:rsid w:val="00A34469"/>
    <w:rsid w:val="00A408FB"/>
    <w:rsid w:val="00A467FF"/>
    <w:rsid w:val="00A47693"/>
    <w:rsid w:val="00A532CA"/>
    <w:rsid w:val="00A60BF4"/>
    <w:rsid w:val="00A718FC"/>
    <w:rsid w:val="00A77E61"/>
    <w:rsid w:val="00AA78F9"/>
    <w:rsid w:val="00AB435D"/>
    <w:rsid w:val="00AB46DC"/>
    <w:rsid w:val="00AC3933"/>
    <w:rsid w:val="00AC4213"/>
    <w:rsid w:val="00AE1E21"/>
    <w:rsid w:val="00AF0402"/>
    <w:rsid w:val="00B01D8D"/>
    <w:rsid w:val="00B02EC9"/>
    <w:rsid w:val="00B04B9B"/>
    <w:rsid w:val="00B0515C"/>
    <w:rsid w:val="00B169BB"/>
    <w:rsid w:val="00B20631"/>
    <w:rsid w:val="00B336AD"/>
    <w:rsid w:val="00B35BDF"/>
    <w:rsid w:val="00B4488A"/>
    <w:rsid w:val="00B5758A"/>
    <w:rsid w:val="00B65E71"/>
    <w:rsid w:val="00B76A9F"/>
    <w:rsid w:val="00B8040D"/>
    <w:rsid w:val="00BA1225"/>
    <w:rsid w:val="00BA75B8"/>
    <w:rsid w:val="00BB7351"/>
    <w:rsid w:val="00BD2D5D"/>
    <w:rsid w:val="00BD71E1"/>
    <w:rsid w:val="00BE2246"/>
    <w:rsid w:val="00BF079C"/>
    <w:rsid w:val="00C04510"/>
    <w:rsid w:val="00C21476"/>
    <w:rsid w:val="00C226FE"/>
    <w:rsid w:val="00C319E1"/>
    <w:rsid w:val="00C33C7D"/>
    <w:rsid w:val="00C4094F"/>
    <w:rsid w:val="00C443CA"/>
    <w:rsid w:val="00C448BD"/>
    <w:rsid w:val="00C62CB2"/>
    <w:rsid w:val="00C633EE"/>
    <w:rsid w:val="00CB09B8"/>
    <w:rsid w:val="00CC1B55"/>
    <w:rsid w:val="00CC413C"/>
    <w:rsid w:val="00CC4AE2"/>
    <w:rsid w:val="00CD582C"/>
    <w:rsid w:val="00CD686A"/>
    <w:rsid w:val="00D0181E"/>
    <w:rsid w:val="00D025C7"/>
    <w:rsid w:val="00D04406"/>
    <w:rsid w:val="00D315A1"/>
    <w:rsid w:val="00D316FF"/>
    <w:rsid w:val="00D503AD"/>
    <w:rsid w:val="00D61248"/>
    <w:rsid w:val="00D6135D"/>
    <w:rsid w:val="00D97D21"/>
    <w:rsid w:val="00DA164D"/>
    <w:rsid w:val="00DC17CB"/>
    <w:rsid w:val="00DE785A"/>
    <w:rsid w:val="00E109E6"/>
    <w:rsid w:val="00E22AC3"/>
    <w:rsid w:val="00E230B4"/>
    <w:rsid w:val="00E273A8"/>
    <w:rsid w:val="00E4621F"/>
    <w:rsid w:val="00E47084"/>
    <w:rsid w:val="00E5682A"/>
    <w:rsid w:val="00E56F98"/>
    <w:rsid w:val="00E93B28"/>
    <w:rsid w:val="00EB3A28"/>
    <w:rsid w:val="00EB7F77"/>
    <w:rsid w:val="00EC254E"/>
    <w:rsid w:val="00EC2E3F"/>
    <w:rsid w:val="00ED28D1"/>
    <w:rsid w:val="00EE6603"/>
    <w:rsid w:val="00F0612C"/>
    <w:rsid w:val="00F37456"/>
    <w:rsid w:val="00F65C95"/>
    <w:rsid w:val="00F66F4F"/>
    <w:rsid w:val="00F76D6B"/>
    <w:rsid w:val="00F76F18"/>
    <w:rsid w:val="00FB6C43"/>
    <w:rsid w:val="00FC6362"/>
    <w:rsid w:val="00FC6C9D"/>
    <w:rsid w:val="00FC7EF8"/>
    <w:rsid w:val="00FE6561"/>
    <w:rsid w:val="00FE7BBC"/>
    <w:rsid w:val="00FF1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Verdana">
    <w:name w:val="Normal + Verdana"/>
    <w:aliases w:val="10 pt,Bold"/>
    <w:basedOn w:val="Normal"/>
    <w:rsid w:val="00210CFB"/>
    <w:pPr>
      <w:spacing w:after="0" w:line="240" w:lineRule="auto"/>
    </w:pPr>
    <w:rPr>
      <w:rFonts w:ascii="Verdana" w:eastAsia="Times New Roman" w:hAnsi="Verdana" w:cs="Tahoma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00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Verdana">
    <w:name w:val="Normal + Verdana"/>
    <w:aliases w:val="10 pt,Bold"/>
    <w:basedOn w:val="Normal"/>
    <w:rsid w:val="00210CFB"/>
    <w:pPr>
      <w:spacing w:after="0" w:line="240" w:lineRule="auto"/>
    </w:pPr>
    <w:rPr>
      <w:rFonts w:ascii="Verdana" w:eastAsia="Times New Roman" w:hAnsi="Verdana" w:cs="Tahoma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00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F01AA4C3.dotm</Template>
  <TotalTime>125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Minh Thai T. Cam</cp:lastModifiedBy>
  <cp:revision>21</cp:revision>
  <cp:lastPrinted>2016-04-22T03:06:00Z</cp:lastPrinted>
  <dcterms:created xsi:type="dcterms:W3CDTF">2016-04-12T09:37:00Z</dcterms:created>
  <dcterms:modified xsi:type="dcterms:W3CDTF">2016-04-22T03:07:00Z</dcterms:modified>
</cp:coreProperties>
</file>