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00 — MASTER INDEX &amp; MỤC TIÊU NGHIÊN CỨU</w:t>
      </w:r>
    </w:p>
    <w:p>
      <w:pPr>
        <w:jc w:val="center"/>
      </w:pPr>
      <w:r>
        <w:rPr>
          <w:b/>
          <w:sz w:val="21"/>
        </w:rPr>
        <w:t>Tài liệu điều hướng và chuẩn theo dõi toàn bộ workstream</w:t>
      </w:r>
    </w:p>
    <w:p>
      <w:pPr>
        <w:jc w:val="center"/>
      </w:pPr>
      <w:r>
        <w:rPr>
          <w:i/>
          <w:sz w:val="17"/>
        </w:rPr>
        <w:t>GreenScan AI Research Source Pack | Version 2026.08.13 | Cập nhật 13/08/2026</w:t>
      </w:r>
    </w:p>
    <w:p/>
    <w:p>
      <w:pPr>
        <w:pStyle w:val="Heading1"/>
      </w:pPr>
      <w:r>
        <w:t>1. North Star</w:t>
      </w:r>
    </w:p>
    <w:p>
      <w:r>
        <w:rPr>
          <w:b/>
        </w:rPr>
        <w:t xml:space="preserve">GreenScan AI nghiên cứu bài toán kiểm chứng tuyên bố môi trường và tài chính xanh ở cấp claim trong tài liệu doanh nghiệp tiếng Việt. </w:t>
      </w:r>
      <w:r>
        <w:t>Hệ thống trích xuất claim và bằng chứng đa phương thức, kiểm tra định lượng và quy định pháp lý, đánh giá mức độ hỗ trợ của bằng chứng, đồng thời định lượng độ bất định để từ chối kết luận khi chưa đủ căn cứ.</w:t>
      </w:r>
    </w:p>
    <w:p>
      <w:pPr>
        <w:pStyle w:val="Heading1"/>
      </w:pPr>
      <w:r>
        <w:t>2. Mục tiêu của bộ tài liệu</w:t>
      </w:r>
    </w:p>
    <w:p>
      <w:pPr>
        <w:ind w:left="0" w:hanging="202"/>
      </w:pPr>
      <w:r>
        <w:rPr>
          <w:b/>
        </w:rPr>
        <w:t xml:space="preserve">• </w:t>
      </w:r>
      <w:r>
        <w:t>Biến ý tưởng “detect greenwashing” thành các nhiệm vụ kỹ thuật có input/output/metric/Definition of Done rõ ràng.</w:t>
      </w:r>
    </w:p>
    <w:p>
      <w:pPr>
        <w:ind w:left="0" w:hanging="202"/>
      </w:pPr>
      <w:r>
        <w:rPr>
          <w:b/>
        </w:rPr>
        <w:t xml:space="preserve">• </w:t>
      </w:r>
      <w:r>
        <w:t>Tập trung 1 tháng tới vào Reliability &amp; Evidence Engineering: parsing, retrieval, evidence sufficiency, numeric/legal checking và evaluation.</w:t>
      </w:r>
    </w:p>
    <w:p>
      <w:pPr>
        <w:ind w:left="0" w:hanging="202"/>
      </w:pPr>
      <w:r>
        <w:rPr>
          <w:b/>
        </w:rPr>
        <w:t xml:space="preserve">• </w:t>
      </w:r>
      <w:r>
        <w:t>Lưu lại research question, paper cần đọc, ablation cần chạy và tiêu chí release để tránh triển khai lan man.</w:t>
      </w:r>
    </w:p>
    <w:p>
      <w:pPr>
        <w:ind w:left="0" w:hanging="202"/>
      </w:pPr>
      <w:r>
        <w:rPr>
          <w:b/>
        </w:rPr>
        <w:t xml:space="preserve">• </w:t>
      </w:r>
      <w:r>
        <w:t>Tạo một nguồn tham chiếu chung để đồng bộ team, codebase, báo cáo Vòng 2 và demo.</w:t>
      </w:r>
    </w:p>
    <w:p>
      <w:pPr>
        <w:pStyle w:val="Heading1"/>
      </w:pPr>
      <w:r>
        <w:t>3. Cấu trúc source pack</w:t>
      </w:r>
    </w:p>
    <w:tbl>
      <w:tblPr>
        <w:tblStyle w:val="TableGrid"/>
        <w:tblW w:type="auto" w:w="0"/>
        <w:jc w:val="center"/>
        <w:tblLook w:firstColumn="1" w:firstRow="1" w:lastColumn="0" w:lastRow="0" w:noHBand="0" w:noVBand="1" w:val="04A0"/>
      </w:tblPr>
      <w:tblGrid>
        <w:gridCol w:w="3427"/>
        <w:gridCol w:w="3427"/>
        <w:gridCol w:w="3427"/>
      </w:tblGrid>
      <w:tr>
        <w:tc>
          <w:tcPr>
            <w:tcW w:type="dxa" w:w="3312"/>
            <w:shd w:fill="D9EAD3"/>
            <w:vAlign w:val="center"/>
          </w:tcPr>
          <w:p>
            <w:r>
              <w:rPr>
                <w:b/>
                <w:sz w:val="15"/>
              </w:rPr>
              <w:t>Tài liệu</w:t>
            </w:r>
          </w:p>
        </w:tc>
        <w:tc>
          <w:tcPr>
            <w:tcW w:type="dxa" w:w="4896"/>
            <w:shd w:fill="D9EAD3"/>
            <w:vAlign w:val="center"/>
          </w:tcPr>
          <w:p>
            <w:r>
              <w:rPr>
                <w:b/>
                <w:sz w:val="15"/>
              </w:rPr>
              <w:t>Mục đích</w:t>
            </w:r>
          </w:p>
        </w:tc>
        <w:tc>
          <w:tcPr>
            <w:tcW w:type="dxa" w:w="1872"/>
            <w:shd w:fill="D9EAD3"/>
            <w:vAlign w:val="center"/>
          </w:tcPr>
          <w:p>
            <w:r>
              <w:rPr>
                <w:b/>
                <w:sz w:val="15"/>
              </w:rPr>
              <w:t>Khi nào cập nhật</w:t>
            </w:r>
          </w:p>
        </w:tc>
      </w:tr>
      <w:tr>
        <w:tc>
          <w:tcPr>
            <w:tcW w:type="dxa" w:w="3312"/>
            <w:vAlign w:val="top"/>
            <w:tcMar>
              <w:top w:w="80" w:type="dxa"/>
              <w:start w:w="100" w:type="dxa"/>
              <w:bottom w:w="80" w:type="dxa"/>
              <w:end w:w="100" w:type="dxa"/>
            </w:tcMar>
          </w:tcPr>
          <w:p>
            <w:pPr>
              <w:spacing w:after="0"/>
            </w:pPr>
            <w:r>
              <w:rPr>
                <w:sz w:val="15"/>
              </w:rPr>
              <w:t>00_MASTER_INDEX_AND_GOALS.docx</w:t>
            </w:r>
          </w:p>
        </w:tc>
        <w:tc>
          <w:tcPr>
            <w:tcW w:type="dxa" w:w="4896"/>
            <w:vAlign w:val="top"/>
            <w:tcMar>
              <w:top w:w="80" w:type="dxa"/>
              <w:start w:w="100" w:type="dxa"/>
              <w:bottom w:w="80" w:type="dxa"/>
              <w:end w:w="100" w:type="dxa"/>
            </w:tcMar>
          </w:tcPr>
          <w:p>
            <w:pPr>
              <w:spacing w:after="0"/>
            </w:pPr>
            <w:r>
              <w:rPr>
                <w:sz w:val="15"/>
              </w:rPr>
              <w:t>North Star, mục tiêu 30 ngày, quy tắc cập nhật, status chung.</w:t>
            </w:r>
          </w:p>
        </w:tc>
        <w:tc>
          <w:tcPr>
            <w:tcW w:type="dxa" w:w="1872"/>
            <w:vAlign w:val="top"/>
            <w:tcMar>
              <w:top w:w="80" w:type="dxa"/>
              <w:start w:w="100" w:type="dxa"/>
              <w:bottom w:w="80" w:type="dxa"/>
              <w:end w:w="100" w:type="dxa"/>
            </w:tcMar>
          </w:tcPr>
          <w:p>
            <w:pPr>
              <w:spacing w:after="0"/>
            </w:pPr>
            <w:r>
              <w:rPr>
                <w:sz w:val="15"/>
              </w:rPr>
              <w:t>Mỗi tuần hoặc khi đổi scope.</w:t>
            </w:r>
          </w:p>
        </w:tc>
      </w:tr>
      <w:tr>
        <w:tc>
          <w:tcPr>
            <w:tcW w:type="dxa" w:w="3312"/>
            <w:vAlign w:val="top"/>
            <w:tcMar>
              <w:top w:w="80" w:type="dxa"/>
              <w:start w:w="100" w:type="dxa"/>
              <w:bottom w:w="80" w:type="dxa"/>
              <w:end w:w="100" w:type="dxa"/>
            </w:tcMar>
          </w:tcPr>
          <w:p>
            <w:pPr>
              <w:spacing w:after="0"/>
            </w:pPr>
            <w:r>
              <w:rPr>
                <w:sz w:val="15"/>
              </w:rPr>
              <w:t>01_CURRENT_PROBLEM_LANDSCAPE.docx</w:t>
            </w:r>
          </w:p>
        </w:tc>
        <w:tc>
          <w:tcPr>
            <w:tcW w:type="dxa" w:w="4896"/>
            <w:vAlign w:val="top"/>
            <w:tcMar>
              <w:top w:w="80" w:type="dxa"/>
              <w:start w:w="100" w:type="dxa"/>
              <w:bottom w:w="80" w:type="dxa"/>
              <w:end w:w="100" w:type="dxa"/>
            </w:tcMar>
          </w:tcPr>
          <w:p>
            <w:pPr>
              <w:spacing w:after="0"/>
            </w:pPr>
            <w:r>
              <w:rPr>
                <w:sz w:val="15"/>
              </w:rPr>
              <w:t>Bối cảnh bài toán, research landscape, scope và anti-scope.</w:t>
            </w:r>
          </w:p>
        </w:tc>
        <w:tc>
          <w:tcPr>
            <w:tcW w:type="dxa" w:w="1872"/>
            <w:vAlign w:val="top"/>
            <w:tcMar>
              <w:top w:w="80" w:type="dxa"/>
              <w:start w:w="100" w:type="dxa"/>
              <w:bottom w:w="80" w:type="dxa"/>
              <w:end w:w="100" w:type="dxa"/>
            </w:tcMar>
          </w:tcPr>
          <w:p>
            <w:pPr>
              <w:spacing w:after="0"/>
            </w:pPr>
            <w:r>
              <w:rPr>
                <w:sz w:val="15"/>
              </w:rPr>
              <w:t>Khi có thay đổi pháp lý/nghiên cứu quan trọng.</w:t>
            </w:r>
          </w:p>
        </w:tc>
      </w:tr>
      <w:tr>
        <w:tc>
          <w:tcPr>
            <w:tcW w:type="dxa" w:w="3312"/>
            <w:vAlign w:val="top"/>
            <w:tcMar>
              <w:top w:w="80" w:type="dxa"/>
              <w:start w:w="100" w:type="dxa"/>
              <w:bottom w:w="80" w:type="dxa"/>
              <w:end w:w="100" w:type="dxa"/>
            </w:tcMar>
          </w:tcPr>
          <w:p>
            <w:pPr>
              <w:spacing w:after="0"/>
            </w:pPr>
            <w:r>
              <w:rPr>
                <w:sz w:val="15"/>
              </w:rPr>
              <w:t>02_RESEARCH_TASK_MAP_T0-T11.docx</w:t>
            </w:r>
          </w:p>
        </w:tc>
        <w:tc>
          <w:tcPr>
            <w:tcW w:type="dxa" w:w="4896"/>
            <w:vAlign w:val="top"/>
            <w:tcMar>
              <w:top w:w="80" w:type="dxa"/>
              <w:start w:w="100" w:type="dxa"/>
              <w:bottom w:w="80" w:type="dxa"/>
              <w:end w:w="100" w:type="dxa"/>
            </w:tcMar>
          </w:tcPr>
          <w:p>
            <w:pPr>
              <w:spacing w:after="0"/>
            </w:pPr>
            <w:r>
              <w:rPr>
                <w:sz w:val="15"/>
              </w:rPr>
              <w:t>12 workstream từ taxonomy đến UI/audit; RQ, I/O, metric, DoD.</w:t>
            </w:r>
          </w:p>
        </w:tc>
        <w:tc>
          <w:tcPr>
            <w:tcW w:type="dxa" w:w="1872"/>
            <w:vAlign w:val="top"/>
            <w:tcMar>
              <w:top w:w="80" w:type="dxa"/>
              <w:start w:w="100" w:type="dxa"/>
              <w:bottom w:w="80" w:type="dxa"/>
              <w:end w:w="100" w:type="dxa"/>
            </w:tcMar>
          </w:tcPr>
          <w:p>
            <w:pPr>
              <w:spacing w:after="0"/>
            </w:pPr>
            <w:r>
              <w:rPr>
                <w:sz w:val="15"/>
              </w:rPr>
              <w:t>Sau mỗi milestone kỹ thuật.</w:t>
            </w:r>
          </w:p>
        </w:tc>
      </w:tr>
      <w:tr>
        <w:tc>
          <w:tcPr>
            <w:tcW w:type="dxa" w:w="3312"/>
            <w:vAlign w:val="top"/>
            <w:tcMar>
              <w:top w:w="80" w:type="dxa"/>
              <w:start w:w="100" w:type="dxa"/>
              <w:bottom w:w="80" w:type="dxa"/>
              <w:end w:w="100" w:type="dxa"/>
            </w:tcMar>
          </w:tcPr>
          <w:p>
            <w:pPr>
              <w:spacing w:after="0"/>
            </w:pPr>
            <w:r>
              <w:rPr>
                <w:sz w:val="15"/>
              </w:rPr>
              <w:t>03_ONE_MONTH_RESEARCH_ROADMAP.docx</w:t>
            </w:r>
          </w:p>
        </w:tc>
        <w:tc>
          <w:tcPr>
            <w:tcW w:type="dxa" w:w="4896"/>
            <w:vAlign w:val="top"/>
            <w:tcMar>
              <w:top w:w="80" w:type="dxa"/>
              <w:start w:w="100" w:type="dxa"/>
              <w:bottom w:w="80" w:type="dxa"/>
              <w:end w:w="100" w:type="dxa"/>
            </w:tcMar>
          </w:tcPr>
          <w:p>
            <w:pPr>
              <w:spacing w:after="0"/>
            </w:pPr>
            <w:r>
              <w:rPr>
                <w:sz w:val="15"/>
              </w:rPr>
              <w:t>Kế hoạch 4 tuần, gate, deliverable và thứ tự phụ thuộc.</w:t>
            </w:r>
          </w:p>
        </w:tc>
        <w:tc>
          <w:tcPr>
            <w:tcW w:type="dxa" w:w="1872"/>
            <w:vAlign w:val="top"/>
            <w:tcMar>
              <w:top w:w="80" w:type="dxa"/>
              <w:start w:w="100" w:type="dxa"/>
              <w:bottom w:w="80" w:type="dxa"/>
              <w:end w:w="100" w:type="dxa"/>
            </w:tcMar>
          </w:tcPr>
          <w:p>
            <w:pPr>
              <w:spacing w:after="0"/>
            </w:pPr>
            <w:r>
              <w:rPr>
                <w:sz w:val="15"/>
              </w:rPr>
              <w:t>Weekly review.</w:t>
            </w:r>
          </w:p>
        </w:tc>
      </w:tr>
      <w:tr>
        <w:tc>
          <w:tcPr>
            <w:tcW w:type="dxa" w:w="3312"/>
            <w:vAlign w:val="top"/>
            <w:tcMar>
              <w:top w:w="80" w:type="dxa"/>
              <w:start w:w="100" w:type="dxa"/>
              <w:bottom w:w="80" w:type="dxa"/>
              <w:end w:w="100" w:type="dxa"/>
            </w:tcMar>
          </w:tcPr>
          <w:p>
            <w:pPr>
              <w:spacing w:after="0"/>
            </w:pPr>
            <w:r>
              <w:rPr>
                <w:sz w:val="15"/>
              </w:rPr>
              <w:t>04_EVALUATION_EXPERIMENT_RELEASE_GATE.docx</w:t>
            </w:r>
          </w:p>
        </w:tc>
        <w:tc>
          <w:tcPr>
            <w:tcW w:type="dxa" w:w="4896"/>
            <w:vAlign w:val="top"/>
            <w:tcMar>
              <w:top w:w="80" w:type="dxa"/>
              <w:start w:w="100" w:type="dxa"/>
              <w:bottom w:w="80" w:type="dxa"/>
              <w:end w:w="100" w:type="dxa"/>
            </w:tcMar>
          </w:tcPr>
          <w:p>
            <w:pPr>
              <w:spacing w:after="0"/>
            </w:pPr>
            <w:r>
              <w:rPr>
                <w:sz w:val="15"/>
              </w:rPr>
              <w:t>Benchmark, metrics, ablation, error taxonomy, release gate.</w:t>
            </w:r>
          </w:p>
        </w:tc>
        <w:tc>
          <w:tcPr>
            <w:tcW w:type="dxa" w:w="1872"/>
            <w:vAlign w:val="top"/>
            <w:tcMar>
              <w:top w:w="80" w:type="dxa"/>
              <w:start w:w="100" w:type="dxa"/>
              <w:bottom w:w="80" w:type="dxa"/>
              <w:end w:w="100" w:type="dxa"/>
            </w:tcMar>
          </w:tcPr>
          <w:p>
            <w:pPr>
              <w:spacing w:after="0"/>
            </w:pPr>
            <w:r>
              <w:rPr>
                <w:sz w:val="15"/>
              </w:rPr>
              <w:t>Sau mỗi experiment/release candidate.</w:t>
            </w:r>
          </w:p>
        </w:tc>
      </w:tr>
      <w:tr>
        <w:tc>
          <w:tcPr>
            <w:tcW w:type="dxa" w:w="3312"/>
            <w:vAlign w:val="top"/>
            <w:tcMar>
              <w:top w:w="80" w:type="dxa"/>
              <w:start w:w="100" w:type="dxa"/>
              <w:bottom w:w="80" w:type="dxa"/>
              <w:end w:w="100" w:type="dxa"/>
            </w:tcMar>
          </w:tcPr>
          <w:p>
            <w:pPr>
              <w:spacing w:after="0"/>
            </w:pPr>
            <w:r>
              <w:rPr>
                <w:sz w:val="15"/>
              </w:rPr>
              <w:t>05_RESEARCH_READING_MAP.docx</w:t>
            </w:r>
          </w:p>
        </w:tc>
        <w:tc>
          <w:tcPr>
            <w:tcW w:type="dxa" w:w="4896"/>
            <w:vAlign w:val="top"/>
            <w:tcMar>
              <w:top w:w="80" w:type="dxa"/>
              <w:start w:w="100" w:type="dxa"/>
              <w:bottom w:w="80" w:type="dxa"/>
              <w:end w:w="100" w:type="dxa"/>
            </w:tcMar>
          </w:tcPr>
          <w:p>
            <w:pPr>
              <w:spacing w:after="0"/>
            </w:pPr>
            <w:r>
              <w:rPr>
                <w:sz w:val="15"/>
              </w:rPr>
              <w:t>Danh mục paper, câu hỏi cần rút ra và search query.</w:t>
            </w:r>
          </w:p>
        </w:tc>
        <w:tc>
          <w:tcPr>
            <w:tcW w:type="dxa" w:w="1872"/>
            <w:vAlign w:val="top"/>
            <w:tcMar>
              <w:top w:w="80" w:type="dxa"/>
              <w:start w:w="100" w:type="dxa"/>
              <w:bottom w:w="80" w:type="dxa"/>
              <w:end w:w="100" w:type="dxa"/>
            </w:tcMar>
          </w:tcPr>
          <w:p>
            <w:pPr>
              <w:spacing w:after="0"/>
            </w:pPr>
            <w:r>
              <w:rPr>
                <w:sz w:val="15"/>
              </w:rPr>
              <w:t>Khi đọc/xác minh paper mới.</w:t>
            </w:r>
          </w:p>
        </w:tc>
      </w:tr>
      <w:tr>
        <w:tc>
          <w:tcPr>
            <w:tcW w:type="dxa" w:w="3312"/>
            <w:vAlign w:val="top"/>
            <w:tcMar>
              <w:top w:w="80" w:type="dxa"/>
              <w:start w:w="100" w:type="dxa"/>
              <w:bottom w:w="80" w:type="dxa"/>
              <w:end w:w="100" w:type="dxa"/>
            </w:tcMar>
          </w:tcPr>
          <w:p>
            <w:pPr>
              <w:spacing w:after="0"/>
            </w:pPr>
            <w:r>
              <w:rPr>
                <w:sz w:val="15"/>
              </w:rPr>
              <w:t>06_TECHNICAL_BACKLOG_AND_DOD.docx</w:t>
            </w:r>
          </w:p>
        </w:tc>
        <w:tc>
          <w:tcPr>
            <w:tcW w:type="dxa" w:w="4896"/>
            <w:vAlign w:val="top"/>
            <w:tcMar>
              <w:top w:w="80" w:type="dxa"/>
              <w:start w:w="100" w:type="dxa"/>
              <w:bottom w:w="80" w:type="dxa"/>
              <w:end w:w="100" w:type="dxa"/>
            </w:tcMar>
          </w:tcPr>
          <w:p>
            <w:pPr>
              <w:spacing w:after="0"/>
            </w:pPr>
            <w:r>
              <w:rPr>
                <w:sz w:val="15"/>
              </w:rPr>
              <w:t>Backlog P0/P1/P2, acceptance criteria, anti-goals.</w:t>
            </w:r>
          </w:p>
        </w:tc>
        <w:tc>
          <w:tcPr>
            <w:tcW w:type="dxa" w:w="1872"/>
            <w:vAlign w:val="top"/>
            <w:tcMar>
              <w:top w:w="80" w:type="dxa"/>
              <w:start w:w="100" w:type="dxa"/>
              <w:bottom w:w="80" w:type="dxa"/>
              <w:end w:w="100" w:type="dxa"/>
            </w:tcMar>
          </w:tcPr>
          <w:p>
            <w:pPr>
              <w:spacing w:after="0"/>
            </w:pPr>
            <w:r>
              <w:rPr>
                <w:sz w:val="15"/>
              </w:rPr>
              <w:t>Trong sprint planning/review.</w:t>
            </w:r>
          </w:p>
        </w:tc>
      </w:tr>
    </w:tbl>
    <w:p/>
    <w:p>
      <w:pPr>
        <w:pStyle w:val="Heading1"/>
      </w:pPr>
      <w:r>
        <w:t>4. Mục tiêu 30 ngày — thứ tự ưu tiên</w:t>
      </w:r>
    </w:p>
    <w:tbl>
      <w:tblPr>
        <w:tblStyle w:val="TableGrid"/>
        <w:tblW w:type="auto" w:w="0"/>
        <w:jc w:val="center"/>
        <w:tblLook w:firstColumn="1" w:firstRow="1" w:lastColumn="0" w:lastRow="0" w:noHBand="0" w:noVBand="1" w:val="04A0"/>
      </w:tblPr>
      <w:tblGrid>
        <w:gridCol w:w="3427"/>
        <w:gridCol w:w="3427"/>
        <w:gridCol w:w="3427"/>
      </w:tblGrid>
      <w:tr>
        <w:tc>
          <w:tcPr>
            <w:tcW w:type="dxa" w:w="1008"/>
            <w:shd w:fill="D9EAD3"/>
            <w:vAlign w:val="center"/>
          </w:tcPr>
          <w:p>
            <w:r>
              <w:rPr>
                <w:b/>
                <w:sz w:val="16"/>
              </w:rPr>
              <w:t>Priority</w:t>
            </w:r>
          </w:p>
        </w:tc>
        <w:tc>
          <w:tcPr>
            <w:tcW w:type="dxa" w:w="3168"/>
            <w:shd w:fill="D9EAD3"/>
            <w:vAlign w:val="center"/>
          </w:tcPr>
          <w:p>
            <w:r>
              <w:rPr>
                <w:b/>
                <w:sz w:val="16"/>
              </w:rPr>
              <w:t>Mảng</w:t>
            </w:r>
          </w:p>
        </w:tc>
        <w:tc>
          <w:tcPr>
            <w:tcW w:type="dxa" w:w="5904"/>
            <w:shd w:fill="D9EAD3"/>
            <w:vAlign w:val="center"/>
          </w:tcPr>
          <w:p>
            <w:r>
              <w:rPr>
                <w:b/>
                <w:sz w:val="16"/>
              </w:rPr>
              <w:t>Kết quả cần chứng minh</w:t>
            </w:r>
          </w:p>
        </w:tc>
      </w:tr>
      <w:tr>
        <w:tc>
          <w:tcPr>
            <w:tcW w:type="dxa" w:w="1008"/>
            <w:vAlign w:val="top"/>
            <w:tcMar>
              <w:top w:w="80" w:type="dxa"/>
              <w:start w:w="100" w:type="dxa"/>
              <w:bottom w:w="80" w:type="dxa"/>
              <w:end w:w="100" w:type="dxa"/>
            </w:tcMar>
          </w:tcPr>
          <w:p>
            <w:pPr>
              <w:spacing w:after="0"/>
            </w:pPr>
            <w:r>
              <w:rPr>
                <w:sz w:val="16"/>
              </w:rPr>
              <w:t>P0</w:t>
            </w:r>
          </w:p>
        </w:tc>
        <w:tc>
          <w:tcPr>
            <w:tcW w:type="dxa" w:w="3168"/>
            <w:vAlign w:val="top"/>
            <w:tcMar>
              <w:top w:w="80" w:type="dxa"/>
              <w:start w:w="100" w:type="dxa"/>
              <w:bottom w:w="80" w:type="dxa"/>
              <w:end w:w="100" w:type="dxa"/>
            </w:tcMar>
          </w:tcPr>
          <w:p>
            <w:pPr>
              <w:spacing w:after="0"/>
            </w:pPr>
            <w:r>
              <w:rPr>
                <w:sz w:val="16"/>
              </w:rPr>
              <w:t>Evaluation foundation</w:t>
            </w:r>
          </w:p>
        </w:tc>
        <w:tc>
          <w:tcPr>
            <w:tcW w:type="dxa" w:w="5904"/>
            <w:vAlign w:val="top"/>
            <w:tcMar>
              <w:top w:w="80" w:type="dxa"/>
              <w:start w:w="100" w:type="dxa"/>
              <w:bottom w:w="80" w:type="dxa"/>
              <w:end w:w="100" w:type="dxa"/>
            </w:tcMar>
          </w:tcPr>
          <w:p>
            <w:pPr>
              <w:spacing w:after="0"/>
            </w:pPr>
            <w:r>
              <w:rPr>
                <w:sz w:val="16"/>
              </w:rPr>
              <w:t>Có eval_set_v1, error taxonomy, metrics theo từng stage và regression report.</w:t>
            </w:r>
          </w:p>
        </w:tc>
      </w:tr>
      <w:tr>
        <w:tc>
          <w:tcPr>
            <w:tcW w:type="dxa" w:w="1008"/>
            <w:vAlign w:val="top"/>
            <w:tcMar>
              <w:top w:w="80" w:type="dxa"/>
              <w:start w:w="100" w:type="dxa"/>
              <w:bottom w:w="80" w:type="dxa"/>
              <w:end w:w="100" w:type="dxa"/>
            </w:tcMar>
          </w:tcPr>
          <w:p>
            <w:pPr>
              <w:spacing w:after="0"/>
            </w:pPr>
            <w:r>
              <w:rPr>
                <w:sz w:val="16"/>
              </w:rPr>
              <w:t>P0</w:t>
            </w:r>
          </w:p>
        </w:tc>
        <w:tc>
          <w:tcPr>
            <w:tcW w:type="dxa" w:w="3168"/>
            <w:vAlign w:val="top"/>
            <w:tcMar>
              <w:top w:w="80" w:type="dxa"/>
              <w:start w:w="100" w:type="dxa"/>
              <w:bottom w:w="80" w:type="dxa"/>
              <w:end w:w="100" w:type="dxa"/>
            </w:tcMar>
          </w:tcPr>
          <w:p>
            <w:pPr>
              <w:spacing w:after="0"/>
            </w:pPr>
            <w:r>
              <w:rPr>
                <w:sz w:val="16"/>
              </w:rPr>
              <w:t>Document/Table Understanding</w:t>
            </w:r>
          </w:p>
        </w:tc>
        <w:tc>
          <w:tcPr>
            <w:tcW w:type="dxa" w:w="5904"/>
            <w:vAlign w:val="top"/>
            <w:tcMar>
              <w:top w:w="80" w:type="dxa"/>
              <w:start w:w="100" w:type="dxa"/>
              <w:bottom w:w="80" w:type="dxa"/>
              <w:end w:w="100" w:type="dxa"/>
            </w:tcMar>
          </w:tcPr>
          <w:p>
            <w:pPr>
              <w:spacing w:after="0"/>
            </w:pPr>
            <w:r>
              <w:rPr>
                <w:sz w:val="16"/>
              </w:rPr>
              <w:t>Có hard-set PDF/table Việt Nam và baseline parser với provenance/cell accuracy.</w:t>
            </w:r>
          </w:p>
        </w:tc>
      </w:tr>
      <w:tr>
        <w:tc>
          <w:tcPr>
            <w:tcW w:type="dxa" w:w="1008"/>
            <w:vAlign w:val="top"/>
            <w:tcMar>
              <w:top w:w="80" w:type="dxa"/>
              <w:start w:w="100" w:type="dxa"/>
              <w:bottom w:w="80" w:type="dxa"/>
              <w:end w:w="100" w:type="dxa"/>
            </w:tcMar>
          </w:tcPr>
          <w:p>
            <w:pPr>
              <w:spacing w:after="0"/>
            </w:pPr>
            <w:r>
              <w:rPr>
                <w:sz w:val="16"/>
              </w:rPr>
              <w:t>P0</w:t>
            </w:r>
          </w:p>
        </w:tc>
        <w:tc>
          <w:tcPr>
            <w:tcW w:type="dxa" w:w="3168"/>
            <w:vAlign w:val="top"/>
            <w:tcMar>
              <w:top w:w="80" w:type="dxa"/>
              <w:start w:w="100" w:type="dxa"/>
              <w:bottom w:w="80" w:type="dxa"/>
              <w:end w:w="100" w:type="dxa"/>
            </w:tcMar>
          </w:tcPr>
          <w:p>
            <w:pPr>
              <w:spacing w:after="0"/>
            </w:pPr>
            <w:r>
              <w:rPr>
                <w:sz w:val="16"/>
              </w:rPr>
              <w:t>Vietnamese Retrieval + Evidence Selection</w:t>
            </w:r>
          </w:p>
        </w:tc>
        <w:tc>
          <w:tcPr>
            <w:tcW w:type="dxa" w:w="5904"/>
            <w:vAlign w:val="top"/>
            <w:tcMar>
              <w:top w:w="80" w:type="dxa"/>
              <w:start w:w="100" w:type="dxa"/>
              <w:bottom w:w="80" w:type="dxa"/>
              <w:end w:w="100" w:type="dxa"/>
            </w:tcMar>
          </w:tcPr>
          <w:p>
            <w:pPr>
              <w:spacing w:after="0"/>
            </w:pPr>
            <w:r>
              <w:rPr>
                <w:sz w:val="16"/>
              </w:rPr>
              <w:t>Benchmark BM25/dense/hybrid/reranker; đo Recall@k, nDCG, distractor sensitivity.</w:t>
            </w:r>
          </w:p>
        </w:tc>
      </w:tr>
      <w:tr>
        <w:tc>
          <w:tcPr>
            <w:tcW w:type="dxa" w:w="1008"/>
            <w:vAlign w:val="top"/>
            <w:tcMar>
              <w:top w:w="80" w:type="dxa"/>
              <w:start w:w="100" w:type="dxa"/>
              <w:bottom w:w="80" w:type="dxa"/>
              <w:end w:w="100" w:type="dxa"/>
            </w:tcMar>
          </w:tcPr>
          <w:p>
            <w:pPr>
              <w:spacing w:after="0"/>
            </w:pPr>
            <w:r>
              <w:rPr>
                <w:sz w:val="16"/>
              </w:rPr>
              <w:t>P0</w:t>
            </w:r>
          </w:p>
        </w:tc>
        <w:tc>
          <w:tcPr>
            <w:tcW w:type="dxa" w:w="3168"/>
            <w:vAlign w:val="top"/>
            <w:tcMar>
              <w:top w:w="80" w:type="dxa"/>
              <w:start w:w="100" w:type="dxa"/>
              <w:bottom w:w="80" w:type="dxa"/>
              <w:end w:w="100" w:type="dxa"/>
            </w:tcMar>
          </w:tcPr>
          <w:p>
            <w:pPr>
              <w:spacing w:after="0"/>
            </w:pPr>
            <w:r>
              <w:rPr>
                <w:sz w:val="16"/>
              </w:rPr>
              <w:t>Evidence Sufficiency + Abstain</w:t>
            </w:r>
          </w:p>
        </w:tc>
        <w:tc>
          <w:tcPr>
            <w:tcW w:type="dxa" w:w="5904"/>
            <w:vAlign w:val="top"/>
            <w:tcMar>
              <w:top w:w="80" w:type="dxa"/>
              <w:start w:w="100" w:type="dxa"/>
              <w:bottom w:w="80" w:type="dxa"/>
              <w:end w:w="100" w:type="dxa"/>
            </w:tcMar>
          </w:tcPr>
          <w:p>
            <w:pPr>
              <w:spacing w:after="0"/>
            </w:pPr>
            <w:r>
              <w:rPr>
                <w:sz w:val="16"/>
              </w:rPr>
              <w:t>Tách “không đủ bằng chứng” khỏi verdict; có risk–coverage/selective-risk evaluation.</w:t>
            </w:r>
          </w:p>
        </w:tc>
      </w:tr>
      <w:tr>
        <w:tc>
          <w:tcPr>
            <w:tcW w:type="dxa" w:w="1008"/>
            <w:vAlign w:val="top"/>
            <w:tcMar>
              <w:top w:w="80" w:type="dxa"/>
              <w:start w:w="100" w:type="dxa"/>
              <w:bottom w:w="80" w:type="dxa"/>
              <w:end w:w="100" w:type="dxa"/>
            </w:tcMar>
          </w:tcPr>
          <w:p>
            <w:pPr>
              <w:spacing w:after="0"/>
            </w:pPr>
            <w:r>
              <w:rPr>
                <w:sz w:val="16"/>
              </w:rPr>
              <w:t>P0</w:t>
            </w:r>
          </w:p>
        </w:tc>
        <w:tc>
          <w:tcPr>
            <w:tcW w:type="dxa" w:w="3168"/>
            <w:vAlign w:val="top"/>
            <w:tcMar>
              <w:top w:w="80" w:type="dxa"/>
              <w:start w:w="100" w:type="dxa"/>
              <w:bottom w:w="80" w:type="dxa"/>
              <w:end w:w="100" w:type="dxa"/>
            </w:tcMar>
          </w:tcPr>
          <w:p>
            <w:pPr>
              <w:spacing w:after="0"/>
            </w:pPr>
            <w:r>
              <w:rPr>
                <w:sz w:val="16"/>
              </w:rPr>
              <w:t>Numeric Verification</w:t>
            </w:r>
          </w:p>
        </w:tc>
        <w:tc>
          <w:tcPr>
            <w:tcW w:type="dxa" w:w="5904"/>
            <w:vAlign w:val="top"/>
            <w:tcMar>
              <w:top w:w="80" w:type="dxa"/>
              <w:start w:w="100" w:type="dxa"/>
              <w:bottom w:w="80" w:type="dxa"/>
              <w:end w:w="100" w:type="dxa"/>
            </w:tcMar>
          </w:tcPr>
          <w:p>
            <w:pPr>
              <w:spacing w:after="0"/>
            </w:pPr>
            <w:r>
              <w:rPr>
                <w:sz w:val="16"/>
              </w:rPr>
              <w:t>Structured computation: normalize unit/baseline/scope → execute → compare claim.</w:t>
            </w:r>
          </w:p>
        </w:tc>
      </w:tr>
      <w:tr>
        <w:tc>
          <w:tcPr>
            <w:tcW w:type="dxa" w:w="1008"/>
            <w:vAlign w:val="top"/>
            <w:tcMar>
              <w:top w:w="80" w:type="dxa"/>
              <w:start w:w="100" w:type="dxa"/>
              <w:bottom w:w="80" w:type="dxa"/>
              <w:end w:w="100" w:type="dxa"/>
            </w:tcMar>
          </w:tcPr>
          <w:p>
            <w:pPr>
              <w:spacing w:after="0"/>
            </w:pPr>
            <w:r>
              <w:rPr>
                <w:sz w:val="16"/>
              </w:rPr>
              <w:t>P1</w:t>
            </w:r>
          </w:p>
        </w:tc>
        <w:tc>
          <w:tcPr>
            <w:tcW w:type="dxa" w:w="3168"/>
            <w:vAlign w:val="top"/>
            <w:tcMar>
              <w:top w:w="80" w:type="dxa"/>
              <w:start w:w="100" w:type="dxa"/>
              <w:bottom w:w="80" w:type="dxa"/>
              <w:end w:w="100" w:type="dxa"/>
            </w:tcMar>
          </w:tcPr>
          <w:p>
            <w:pPr>
              <w:spacing w:after="0"/>
            </w:pPr>
            <w:r>
              <w:rPr>
                <w:sz w:val="16"/>
              </w:rPr>
              <w:t>Temporal Legal/Policy RAG</w:t>
            </w:r>
          </w:p>
        </w:tc>
        <w:tc>
          <w:tcPr>
            <w:tcW w:type="dxa" w:w="5904"/>
            <w:vAlign w:val="top"/>
            <w:tcMar>
              <w:top w:w="80" w:type="dxa"/>
              <w:start w:w="100" w:type="dxa"/>
              <w:bottom w:w="80" w:type="dxa"/>
              <w:end w:w="100" w:type="dxa"/>
            </w:tcMar>
          </w:tcPr>
          <w:p>
            <w:pPr>
              <w:spacing w:after="0"/>
            </w:pPr>
            <w:r>
              <w:rPr>
                <w:sz w:val="16"/>
              </w:rPr>
              <w:t>Index nhiều phiên bản, as_of_date, applicability và rule pack v1.</w:t>
            </w:r>
          </w:p>
        </w:tc>
      </w:tr>
      <w:tr>
        <w:tc>
          <w:tcPr>
            <w:tcW w:type="dxa" w:w="1008"/>
            <w:vAlign w:val="top"/>
            <w:tcMar>
              <w:top w:w="80" w:type="dxa"/>
              <w:start w:w="100" w:type="dxa"/>
              <w:bottom w:w="80" w:type="dxa"/>
              <w:end w:w="100" w:type="dxa"/>
            </w:tcMar>
          </w:tcPr>
          <w:p>
            <w:pPr>
              <w:spacing w:after="0"/>
            </w:pPr>
            <w:r>
              <w:rPr>
                <w:sz w:val="16"/>
              </w:rPr>
              <w:t>P1</w:t>
            </w:r>
          </w:p>
        </w:tc>
        <w:tc>
          <w:tcPr>
            <w:tcW w:type="dxa" w:w="3168"/>
            <w:vAlign w:val="top"/>
            <w:tcMar>
              <w:top w:w="80" w:type="dxa"/>
              <w:start w:w="100" w:type="dxa"/>
              <w:bottom w:w="80" w:type="dxa"/>
              <w:end w:w="100" w:type="dxa"/>
            </w:tcMar>
          </w:tcPr>
          <w:p>
            <w:pPr>
              <w:spacing w:after="0"/>
            </w:pPr>
            <w:r>
              <w:rPr>
                <w:sz w:val="16"/>
              </w:rPr>
              <w:t>Evidence UI + Reviewer</w:t>
            </w:r>
          </w:p>
        </w:tc>
        <w:tc>
          <w:tcPr>
            <w:tcW w:type="dxa" w:w="5904"/>
            <w:vAlign w:val="top"/>
            <w:tcMar>
              <w:top w:w="80" w:type="dxa"/>
              <w:start w:w="100" w:type="dxa"/>
              <w:bottom w:w="80" w:type="dxa"/>
              <w:end w:w="100" w:type="dxa"/>
            </w:tcMar>
          </w:tcPr>
          <w:p>
            <w:pPr>
              <w:spacing w:after="0"/>
            </w:pPr>
            <w:r>
              <w:rPr>
                <w:sz w:val="16"/>
              </w:rPr>
              <w:t>Claim-centric evidence panel, missing evidence, numeric/legal findings, override feedback.</w:t>
            </w:r>
          </w:p>
        </w:tc>
      </w:tr>
      <w:tr>
        <w:tc>
          <w:tcPr>
            <w:tcW w:type="dxa" w:w="1008"/>
            <w:vAlign w:val="top"/>
            <w:tcMar>
              <w:top w:w="80" w:type="dxa"/>
              <w:start w:w="100" w:type="dxa"/>
              <w:bottom w:w="80" w:type="dxa"/>
              <w:end w:w="100" w:type="dxa"/>
            </w:tcMar>
          </w:tcPr>
          <w:p>
            <w:pPr>
              <w:spacing w:after="0"/>
            </w:pPr>
            <w:r>
              <w:rPr>
                <w:sz w:val="16"/>
              </w:rPr>
              <w:t>P2</w:t>
            </w:r>
          </w:p>
        </w:tc>
        <w:tc>
          <w:tcPr>
            <w:tcW w:type="dxa" w:w="3168"/>
            <w:vAlign w:val="top"/>
            <w:tcMar>
              <w:top w:w="80" w:type="dxa"/>
              <w:start w:w="100" w:type="dxa"/>
              <w:bottom w:w="80" w:type="dxa"/>
              <w:end w:w="100" w:type="dxa"/>
            </w:tcMar>
          </w:tcPr>
          <w:p>
            <w:pPr>
              <w:spacing w:after="0"/>
            </w:pPr>
            <w:r>
              <w:rPr>
                <w:sz w:val="16"/>
              </w:rPr>
              <w:t>Graph/Hierarchical/Quantum-inspired evidence selection</w:t>
            </w:r>
          </w:p>
        </w:tc>
        <w:tc>
          <w:tcPr>
            <w:tcW w:type="dxa" w:w="5904"/>
            <w:vAlign w:val="top"/>
            <w:tcMar>
              <w:top w:w="80" w:type="dxa"/>
              <w:start w:w="100" w:type="dxa"/>
              <w:bottom w:w="80" w:type="dxa"/>
              <w:end w:w="100" w:type="dxa"/>
            </w:tcMar>
          </w:tcPr>
          <w:p>
            <w:pPr>
              <w:spacing w:after="0"/>
            </w:pPr>
            <w:r>
              <w:rPr>
                <w:sz w:val="16"/>
              </w:rPr>
              <w:t>Chỉ thử sau khi flat/hybrid baseline ổn định và có benchmark.</w:t>
            </w:r>
          </w:p>
        </w:tc>
      </w:tr>
    </w:tbl>
    <w:p/>
    <w:p>
      <w:pPr>
        <w:pStyle w:val="Heading1"/>
      </w:pPr>
      <w:r>
        <w:t>5. Quy ước trạng thái</w:t>
      </w:r>
    </w:p>
    <w:p>
      <w:pPr>
        <w:ind w:left="0" w:hanging="202"/>
      </w:pPr>
      <w:r>
        <w:rPr>
          <w:b/>
        </w:rPr>
        <w:t xml:space="preserve">• </w:t>
      </w:r>
      <w:r>
        <w:rPr>
          <w:b/>
        </w:rPr>
        <w:t xml:space="preserve">🟢 Ready/Validated — </w:t>
      </w:r>
      <w:r>
        <w:t>đã có baseline và tiêu chí kiểm chứng; có thể dùng làm nền.</w:t>
      </w:r>
    </w:p>
    <w:p>
      <w:pPr>
        <w:ind w:left="0" w:hanging="202"/>
      </w:pPr>
      <w:r>
        <w:rPr>
          <w:b/>
        </w:rPr>
        <w:t xml:space="preserve">• </w:t>
      </w:r>
      <w:r>
        <w:rPr>
          <w:b/>
        </w:rPr>
        <w:t xml:space="preserve">🟡 In progress — </w:t>
      </w:r>
      <w:r>
        <w:t>đã có kiến trúc/logic nhưng chưa đủ benchmark hoặc chưa khóa DoD.</w:t>
      </w:r>
    </w:p>
    <w:p>
      <w:pPr>
        <w:ind w:left="0" w:hanging="202"/>
      </w:pPr>
      <w:r>
        <w:rPr>
          <w:b/>
        </w:rPr>
        <w:t xml:space="preserve">• </w:t>
      </w:r>
      <w:r>
        <w:rPr>
          <w:b/>
        </w:rPr>
        <w:t xml:space="preserve">🔴 Gap — </w:t>
      </w:r>
      <w:r>
        <w:t>thiếu task/benchmark/implementation cốt lõi; ưu tiên xử lý.</w:t>
      </w:r>
    </w:p>
    <w:p>
      <w:pPr>
        <w:ind w:left="0" w:hanging="202"/>
      </w:pPr>
      <w:r>
        <w:rPr>
          <w:b/>
        </w:rPr>
        <w:t xml:space="preserve">• </w:t>
      </w:r>
      <w:r>
        <w:rPr>
          <w:b/>
        </w:rPr>
        <w:t xml:space="preserve">⚪ Future — </w:t>
      </w:r>
      <w:r>
        <w:t>research extension, không chặn MVP.</w:t>
      </w:r>
    </w:p>
    <w:p>
      <w:pPr>
        <w:pStyle w:val="Heading1"/>
      </w:pPr>
      <w:r>
        <w:t>6. Quy tắc cập nhật source</w:t>
      </w:r>
    </w:p>
    <w:p>
      <w:pPr>
        <w:ind w:left="0" w:hanging="202"/>
      </w:pPr>
      <w:r>
        <w:rPr>
          <w:b/>
        </w:rPr>
        <w:t xml:space="preserve">• </w:t>
      </w:r>
      <w:r>
        <w:t>Mỗi claim kỹ thuật trong tài liệu phải được gắn một trong ba nhãn: Project Source / Verified Research / Working Hypothesis.</w:t>
      </w:r>
    </w:p>
    <w:p>
      <w:pPr>
        <w:ind w:left="0" w:hanging="202"/>
      </w:pPr>
      <w:r>
        <w:rPr>
          <w:b/>
        </w:rPr>
        <w:t xml:space="preserve">• </w:t>
      </w:r>
      <w:r>
        <w:t>Mỗi experiment phải ghi: code commit, model/index/rule version, dataset snapshot, seed, metric và failure examples.</w:t>
      </w:r>
    </w:p>
    <w:p>
      <w:pPr>
        <w:ind w:left="0" w:hanging="202"/>
      </w:pPr>
      <w:r>
        <w:rPr>
          <w:b/>
        </w:rPr>
        <w:t xml:space="preserve">• </w:t>
      </w:r>
      <w:r>
        <w:t>Không nâng P2 lên P0 nếu chưa chứng minh bottleneck của P0 đã được giải quyết.</w:t>
      </w:r>
    </w:p>
    <w:p>
      <w:pPr>
        <w:ind w:left="0" w:hanging="202"/>
      </w:pPr>
      <w:r>
        <w:rPr>
          <w:b/>
        </w:rPr>
        <w:t xml:space="preserve">• </w:t>
      </w:r>
      <w:r>
        <w:t>Không dùng một headline score duy nhất để đại diện chất lượng hệ thống; phải giữ stage-level metrics.</w:t>
      </w:r>
    </w:p>
    <w:p>
      <w:pPr>
        <w:ind w:left="0" w:hanging="202"/>
      </w:pPr>
      <w:r>
        <w:rPr>
          <w:b/>
        </w:rPr>
        <w:t xml:space="preserve">• </w:t>
      </w:r>
      <w:r>
        <w:t>Khi bằng chứng hoặc luật không đủ, giữ trạng thái Insufficient evidence thay vì ép verdict.</w:t>
      </w:r>
    </w:p>
    <w:p>
      <w:pPr>
        <w:pStyle w:val="Heading2"/>
      </w:pPr>
      <w:r>
        <w:t>Nguồn nền</w:t>
      </w:r>
    </w:p>
    <w:p>
      <w:pPr>
        <w:pStyle w:val="Small"/>
        <w:spacing w:after="40"/>
      </w:pPr>
      <w:r>
        <w:rPr>
          <w:b/>
        </w:rPr>
        <w:t xml:space="preserve">[P1] </w:t>
      </w:r>
      <w:r>
        <w:t>GreenScan_AI_Ho_so_du_thi_vong_1_final_scrubbed.docx (project source, 30/07/2026).</w:t>
      </w:r>
    </w:p>
    <w:p>
      <w:pPr>
        <w:pStyle w:val="Small"/>
        <w:spacing w:after="40"/>
      </w:pPr>
      <w:r>
        <w:rPr>
          <w:b/>
        </w:rPr>
        <w:t xml:space="preserve">[P2] </w:t>
      </w:r>
      <w:r>
        <w:t>AI-QUANTUM.docx (project source, 30/07/2026).</w:t>
      </w:r>
    </w:p>
    <w:p>
      <w:pPr>
        <w:pStyle w:val="Small"/>
        <w:spacing w:after="40"/>
      </w:pPr>
      <w:r>
        <w:rPr>
          <w:b/>
        </w:rPr>
        <w:t xml:space="preserve">[P4] </w:t>
      </w:r>
      <w:r>
        <w:t>deep-research-report.md — Local-Only Greenwashing Detection and Prevention for Vietnam (project research source).</w:t>
      </w:r>
    </w:p>
    <w:p>
      <w:pPr>
        <w:pStyle w:val="Small"/>
        <w:spacing w:after="40"/>
      </w:pPr>
      <w:r>
        <w:rPr>
          <w:b/>
        </w:rPr>
        <w:t xml:space="preserve">[R3] </w:t>
      </w:r>
      <w:r>
        <w:t>Calamai, T. et al. (2025). Corporate Greenwashing Detection in Text — a Survey. arXiv:2502.07541.</w:t>
      </w:r>
    </w:p>
    <w:p>
      <w:pPr>
        <w:pStyle w:val="Small"/>
        <w:spacing w:after="40"/>
      </w:pPr>
      <w:r>
        <w:rPr>
          <w:b/>
        </w:rPr>
        <w:t xml:space="preserve">[R7] </w:t>
      </w:r>
      <w:r>
        <w:t>Rosenthal, S. et al. (2026). SemEval-2026 Task 8: MTRAGEval: Evaluating Multi-Turn RAG Conversations. DOI: 10.18653/v1/2026.semeval-1.447.</w:t>
      </w:r>
    </w:p>
    <w:sectPr w:rsidR="00FC693F" w:rsidRPr="0006063C" w:rsidSect="00034616">
      <w:footerReference w:type="default" r:id="rId9"/>
      <w:pgSz w:w="12240" w:h="15840"/>
      <w:pgMar w:top="893" w:right="979" w:bottom="893"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5"/>
      </w:rPr>
      <w:t>00_MASTER_INDEX_AND_GOALS | GreenScan AI | 2026.08.13</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ans" w:hAnsi="Liberation Sans" w:eastAsia="Liberation San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Liberation Sans" w:hAnsi="Liberation Sans" w:eastAsia="Liberation Sans"/>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Liberation Sans" w:hAnsi="Liberation Sans" w:eastAsia="Liberation San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Liberation Sans" w:hAnsi="Liberation Sans" w:eastAsia="Liberation Sans"/>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Liberation Sans" w:hAnsi="Liberation Sans" w:eastAsia="Liberation Sans"/>
      <w:b/>
      <w:color w:val="17365D" w:themeColor="text2" w:themeShade="BF"/>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rPr>
      <w:rFonts w:ascii="Liberation Sans" w:hAnsi="Liberation San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