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— CURRENT PROBLEM LANDSCAPE</w:t>
      </w:r>
    </w:p>
    <w:p>
      <w:pPr>
        <w:jc w:val="center"/>
      </w:pPr>
      <w:r>
        <w:rPr>
          <w:b/>
          <w:sz w:val="21"/>
        </w:rPr>
        <w:t>Tình hình bài toán, phạm vi nghiên cứu và các khoảng trống cần giải quyết</w:t>
      </w:r>
    </w:p>
    <w:p>
      <w:pPr>
        <w:jc w:val="center"/>
      </w:pPr>
      <w:r>
        <w:rPr>
          <w:i/>
          <w:sz w:val="17"/>
        </w:rPr>
        <w:t>GreenScan AI Research Source Pack | Version 2026.08.13 | Cập nhật 13/08/2026</w:t>
      </w:r>
    </w:p>
    <w:p/>
    <w:p>
      <w:pPr>
        <w:pStyle w:val="Heading1"/>
      </w:pPr>
      <w:r>
        <w:t>1. Bản chất bài toán</w:t>
      </w:r>
    </w:p>
    <w:p>
      <w:r>
        <w:t>Greenwashing trong GreenScan không nên được mô hình hóa như một bài toán binary text classification. Project source đã định nghĩa pipeline evidence-first: Document AI/OCR → claim extraction/normalization → Hybrid RAG → evidence sufficiency → numeric/legal checking → claim–evidence verdict → risk/reviewer → evidence-rich output. Vì vậy đối tượng nghiên cứu chính là “sustainability claim verification / greenwashing risk verification”.</w:t>
      </w:r>
    </w:p>
    <w:p>
      <w:pPr>
        <w:pStyle w:val="Heading1"/>
      </w:pPr>
      <w:r>
        <w:t>2. Sự chuyển dịch của cách tiếp cận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168"/>
            <w:shd w:fill="D9EAD3"/>
            <w:vAlign w:val="center"/>
          </w:tcPr>
          <w:p>
            <w:r>
              <w:rPr>
                <w:b/>
                <w:sz w:val="16"/>
              </w:rPr>
              <w:t>Cách nhìn đơn giản</w:t>
            </w:r>
          </w:p>
        </w:tc>
        <w:tc>
          <w:tcPr>
            <w:tcW w:type="dxa" w:w="6912"/>
            <w:shd w:fill="D9EAD3"/>
            <w:vAlign w:val="center"/>
          </w:tcPr>
          <w:p>
            <w:r>
              <w:rPr>
                <w:b/>
                <w:sz w:val="16"/>
              </w:rPr>
              <w:t>Cách tiếp cận cần hướng tới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Detect từ/câu “xanh”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Detect claim có thể kiểm chứng và loại claim.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Greenwashing / non-greenwashing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Supported / Partially supported / Unsupported / Contradicted / Insufficient evidence.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Đọc một đoạn văn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Tổng hợp nhiều trang, bảng, năm, tài liệu và nguồn pháp lý.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LLM tự phán đoán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LLM + retrieval + deterministic numeric checks + policy rules + reviewer.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Confidence model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Evidence sufficiency, uncertainty decomposition và selective abstention.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Luật nhét vào prompt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Versioned policy corpus + applicability + as_of_date + policy-as-code.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Hậu kiểm báo cáo</w:t>
            </w:r>
          </w:p>
        </w:tc>
        <w:tc>
          <w:tcPr>
            <w:tcW w:type="dxa" w:w="6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Thêm preventive authoring để yêu cầu baseline/scope/evidence trước công bố.</w:t>
            </w:r>
          </w:p>
        </w:tc>
      </w:tr>
    </w:tbl>
    <w:p/>
    <w:p>
      <w:pPr>
        <w:pStyle w:val="Heading1"/>
      </w:pPr>
      <w:r>
        <w:t>3. Các failure mechanism cần bao phủ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800"/>
            <w:shd w:fill="D9EAD3"/>
            <w:vAlign w:val="center"/>
          </w:tcPr>
          <w:p>
            <w:r>
              <w:rPr>
                <w:b/>
                <w:sz w:val="15"/>
              </w:rPr>
              <w:t>Nhóm</w:t>
            </w:r>
          </w:p>
        </w:tc>
        <w:tc>
          <w:tcPr>
            <w:tcW w:type="dxa" w:w="3888"/>
            <w:shd w:fill="D9EAD3"/>
            <w:vAlign w:val="center"/>
          </w:tcPr>
          <w:p>
            <w:r>
              <w:rPr>
                <w:b/>
                <w:sz w:val="15"/>
              </w:rPr>
              <w:t>Tín hiệu/hiện tượng</w:t>
            </w:r>
          </w:p>
        </w:tc>
        <w:tc>
          <w:tcPr>
            <w:tcW w:type="dxa" w:w="4392"/>
            <w:shd w:fill="D9EAD3"/>
            <w:vAlign w:val="center"/>
          </w:tcPr>
          <w:p>
            <w:r>
              <w:rPr>
                <w:b/>
                <w:sz w:val="15"/>
              </w:rPr>
              <w:t>Cơ chế kiểm tra ưu tiên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Vagueness / cheap talk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“xanh”, “bền vững”, “thân thiện” thiếu KPI/phạm vi.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Claim attributes + rule checks + evidence request.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Missing evidence / omission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Thiếu baseline, scope, denominator, assurance, phương pháp.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 sufficiency + completeness rules.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Numeric inconsistency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Claim giảm nhưng bảng tăng; absolute/intensity bị đánh tráo.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Table-cell grounding + deterministic computation.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Temporal promise risk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Net-zero/target tương lai không có milestone/progress.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Promise extraction + evidence + verification time.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Legal/taxonomy mismatch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Claim xanh nhưng không thỏa điều kiện áp dụng.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Versioned legal retrieval + policy-as-code.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Use-of-proceeds mismatch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Nguồn vốn xanh nhưng allocation/project evidence không khớp.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Financial evidence + taxonomy + reconciliation.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Selective disclosure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Chỉ nêu thành tựu nhỏ, bỏ qua impact lớn hoặc xu hướng xấu.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Cross-document/year retrieval + omission heuristics.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Distracting evidence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Context tương tự nhưng không chứng minh claim.</w:t>
            </w:r>
          </w:p>
        </w:tc>
        <w:tc>
          <w:tcPr>
            <w:tcW w:type="dxa" w:w="43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Reranking + sufficiency + context packing evaluation.</w:t>
            </w:r>
          </w:p>
        </w:tc>
      </w:tr>
    </w:tbl>
    <w:p/>
    <w:p>
      <w:pPr>
        <w:pStyle w:val="Heading1"/>
      </w:pPr>
      <w:r>
        <w:t>4. Research landscape liên quan trực tiếp</w:t>
      </w:r>
    </w:p>
    <w:p>
      <w:pPr>
        <w:ind w:left="0" w:hanging="202"/>
      </w:pPr>
      <w:r>
        <w:rPr>
          <w:b/>
        </w:rPr>
        <w:t xml:space="preserve">• </w:t>
      </w:r>
      <w:r>
        <w:rPr>
          <w:b/>
        </w:rPr>
        <w:t xml:space="preserve">Greenwashing research: </w:t>
      </w:r>
      <w:r>
        <w:t>Survey 2025 phân rã greenwashing detection thành các intermediate tasks; phù hợp với việc tránh một classifier end-to-end duy nhất [R3].</w:t>
      </w:r>
    </w:p>
    <w:p>
      <w:pPr>
        <w:ind w:left="0" w:hanging="202"/>
      </w:pPr>
      <w:r>
        <w:rPr>
          <w:b/>
        </w:rPr>
        <w:t xml:space="preserve">• </w:t>
      </w:r>
      <w:r>
        <w:rPr>
          <w:b/>
        </w:rPr>
        <w:t xml:space="preserve">Promise verification: </w:t>
      </w:r>
      <w:r>
        <w:t>PromiseEval tách corporate ESG promise thành nhận diện promise, tìm evidence, đánh giá consistency và suy ra verification time [R4].</w:t>
      </w:r>
    </w:p>
    <w:p>
      <w:pPr>
        <w:ind w:left="0" w:hanging="202"/>
      </w:pPr>
      <w:r>
        <w:rPr>
          <w:b/>
        </w:rPr>
        <w:t xml:space="preserve">• </w:t>
      </w:r>
      <w:r>
        <w:rPr>
          <w:b/>
        </w:rPr>
        <w:t xml:space="preserve">ESG table reasoning: </w:t>
      </w:r>
      <w:r>
        <w:t>CLARIESG chỉ ra layout/multi-table/unit normalization/cross-document/numerical reasoning là bottleneck thực tế và dùng structured program-of-thought [R5].</w:t>
      </w:r>
    </w:p>
    <w:p>
      <w:pPr>
        <w:ind w:left="0" w:hanging="202"/>
      </w:pPr>
      <w:r>
        <w:rPr>
          <w:b/>
        </w:rPr>
        <w:t xml:space="preserve">• </w:t>
      </w:r>
      <w:r>
        <w:rPr>
          <w:b/>
        </w:rPr>
        <w:t xml:space="preserve">Vietnamese retrieval: </w:t>
      </w:r>
      <w:r>
        <w:t>EACL 2026 cho thấy cần benchmark lexical/dense/hybrid riêng cho tiếng Việt thay vì mặc định kết quả tiếng Anh sẽ chuyển trực tiếp [R6].</w:t>
      </w:r>
    </w:p>
    <w:p>
      <w:pPr>
        <w:ind w:left="0" w:hanging="202"/>
      </w:pPr>
      <w:r>
        <w:rPr>
          <w:b/>
        </w:rPr>
        <w:t xml:space="preserve">• </w:t>
      </w:r>
      <w:r>
        <w:rPr>
          <w:b/>
        </w:rPr>
        <w:t xml:space="preserve">RAG evaluation: </w:t>
      </w:r>
      <w:r>
        <w:t>MTRAGEval đánh giá tách retrieval, generation và end-to-end; đồng thời tập trung câu hỏi unanswerable/underspecified — rất gần bài toán abstain [R7].</w:t>
      </w:r>
    </w:p>
    <w:p>
      <w:pPr>
        <w:ind w:left="0" w:hanging="202"/>
      </w:pPr>
      <w:r>
        <w:rPr>
          <w:b/>
        </w:rPr>
        <w:t xml:space="preserve">• </w:t>
      </w:r>
      <w:r>
        <w:rPr>
          <w:b/>
        </w:rPr>
        <w:t xml:space="preserve">Legal temporal grounding: </w:t>
      </w:r>
      <w:r>
        <w:t>Legal RAG có thể trích đúng điều luật nhưng sai phiên bản theo thời điểm; cần versioned corpus và as_of_date [R8].</w:t>
      </w:r>
    </w:p>
    <w:p>
      <w:pPr>
        <w:ind w:left="0" w:hanging="202"/>
      </w:pPr>
      <w:r>
        <w:rPr>
          <w:b/>
        </w:rPr>
        <w:t xml:space="preserve">• </w:t>
      </w:r>
      <w:r>
        <w:rPr>
          <w:b/>
        </w:rPr>
        <w:t xml:space="preserve">Table parsing: </w:t>
      </w:r>
      <w:r>
        <w:t>TableParseMap cho thấy benchmark tổng hợp có thể che giấu lỗi trên bảng thực tế lớn/phức tạp; GreenScan cần hard set riêng [R9].</w:t>
      </w:r>
    </w:p>
    <w:p>
      <w:pPr>
        <w:ind w:left="0" w:hanging="202"/>
      </w:pPr>
      <w:r>
        <w:rPr>
          <w:b/>
        </w:rPr>
        <w:t xml:space="preserve">• </w:t>
      </w:r>
      <w:r>
        <w:rPr>
          <w:b/>
        </w:rPr>
        <w:t xml:space="preserve">Context packing: </w:t>
      </w:r>
      <w:r>
        <w:t>Khi context budget bị giới hạn, cần đo evidence thực sự “sống sót” vào reader context chứ không chỉ retrieval recall [R10].</w:t>
      </w:r>
    </w:p>
    <w:p>
      <w:pPr>
        <w:pStyle w:val="Heading1"/>
      </w:pPr>
      <w:r>
        <w:t>5. MVP scope cần giữ chặt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040"/>
            <w:shd w:fill="D9EAD3"/>
            <w:vAlign w:val="center"/>
          </w:tcPr>
          <w:p>
            <w:r>
              <w:rPr>
                <w:b/>
                <w:sz w:val="16"/>
              </w:rPr>
              <w:t>IN SCOPE 1 tháng</w:t>
            </w:r>
          </w:p>
        </w:tc>
        <w:tc>
          <w:tcPr>
            <w:tcW w:type="dxa" w:w="5040"/>
            <w:shd w:fill="D9EAD3"/>
            <w:vAlign w:val="center"/>
          </w:tcPr>
          <w:p>
            <w:r>
              <w:rPr>
                <w:b/>
                <w:sz w:val="16"/>
              </w:rPr>
              <w:t>OUT / FUTURE</w:t>
            </w:r>
          </w:p>
        </w:tc>
      </w:tr>
      <w:tr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PDF/scan/layout/table provenance; claim extraction; claim normalization; Vietnamese evidence retrieval; numeric checks; legal checks; evidence sufficiency; abstain; evaluation; evidence UI.</w:t>
            </w:r>
          </w:p>
        </w:tc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Full ESG scoring; social/governance breadth; autonomous web agents; large-scale GraphRAG for every query; fine-tuning without gold data; quantum-first architecture; automatic legal verdict.</w:t>
            </w:r>
          </w:p>
        </w:tc>
      </w:tr>
    </w:tbl>
    <w:p/>
    <w:p>
      <w:pPr>
        <w:pStyle w:val="Heading1"/>
      </w:pPr>
      <w:r>
        <w:t>6. Các câu hỏi nghiên cứu trung tâm</w:t>
      </w:r>
    </w:p>
    <w:p>
      <w:pPr>
        <w:ind w:left="0" w:hanging="202"/>
      </w:pPr>
      <w:r>
        <w:rPr>
          <w:b/>
        </w:rPr>
        <w:t xml:space="preserve">• </w:t>
      </w:r>
      <w:r>
        <w:t>RQ1 — Parser nào giữ đúng page/block/table/cell provenance trên hard PDF ESG/BCTC tiếng Việt?</w:t>
      </w:r>
    </w:p>
    <w:p>
      <w:pPr>
        <w:ind w:left="0" w:hanging="202"/>
      </w:pPr>
      <w:r>
        <w:rPr>
          <w:b/>
        </w:rPr>
        <w:t xml:space="preserve">• </w:t>
      </w:r>
      <w:r>
        <w:t>RQ2 — Retrieval strategy nào tối đa evidence recall/precision cho claim tiếng Việt và giảm distracting evidence?</w:t>
      </w:r>
    </w:p>
    <w:p>
      <w:pPr>
        <w:ind w:left="0" w:hanging="202"/>
      </w:pPr>
      <w:r>
        <w:rPr>
          <w:b/>
        </w:rPr>
        <w:t xml:space="preserve">• </w:t>
      </w:r>
      <w:r>
        <w:t>RQ3 — Làm sao phân biệt “evidence không đủ” với “evidence contradict” một cách có calibration?</w:t>
      </w:r>
    </w:p>
    <w:p>
      <w:pPr>
        <w:ind w:left="0" w:hanging="202"/>
      </w:pPr>
      <w:r>
        <w:rPr>
          <w:b/>
        </w:rPr>
        <w:t xml:space="preserve">• </w:t>
      </w:r>
      <w:r>
        <w:t>RQ4 — Deterministic numeric reasoning cải thiện verdict và khả năng audit bao nhiêu so với LLM-only?</w:t>
      </w:r>
    </w:p>
    <w:p>
      <w:pPr>
        <w:ind w:left="0" w:hanging="202"/>
      </w:pPr>
      <w:r>
        <w:rPr>
          <w:b/>
        </w:rPr>
        <w:t xml:space="preserve">• </w:t>
      </w:r>
      <w:r>
        <w:t>RQ5 — Version-aware legal retrieval giảm temporal misgrounding như thế nào trong policy corpus Việt Nam?</w:t>
      </w:r>
    </w:p>
    <w:p>
      <w:pPr>
        <w:ind w:left="0" w:hanging="202"/>
      </w:pPr>
      <w:r>
        <w:rPr>
          <w:b/>
        </w:rPr>
        <w:t xml:space="preserve">• </w:t>
      </w:r>
      <w:r>
        <w:t>RQ6 — Một evidence-centric UI có giúp reviewer kiểm tra nhanh và giảm override sai hay không?</w:t>
      </w:r>
    </w:p>
    <w:p>
      <w:pPr>
        <w:pStyle w:val="Heading2"/>
      </w:pPr>
      <w:r>
        <w:t>Nguồn nền</w:t>
      </w:r>
    </w:p>
    <w:p>
      <w:pPr>
        <w:pStyle w:val="Small"/>
        <w:spacing w:after="40"/>
      </w:pPr>
      <w:r>
        <w:rPr>
          <w:b/>
        </w:rPr>
        <w:t xml:space="preserve">[P1] </w:t>
      </w:r>
      <w:r>
        <w:t>GreenScan_AI_Ho_so_du_thi_vong_1_final_scrubbed.docx (project source, 30/07/2026).</w:t>
      </w:r>
    </w:p>
    <w:p>
      <w:pPr>
        <w:pStyle w:val="Small"/>
        <w:spacing w:after="40"/>
      </w:pPr>
      <w:r>
        <w:rPr>
          <w:b/>
        </w:rPr>
        <w:t xml:space="preserve">[P2] </w:t>
      </w:r>
      <w:r>
        <w:t>AI-QUANTUM.docx (project source, 30/07/2026).</w:t>
      </w:r>
    </w:p>
    <w:p>
      <w:pPr>
        <w:pStyle w:val="Small"/>
        <w:spacing w:after="40"/>
      </w:pPr>
      <w:r>
        <w:rPr>
          <w:b/>
        </w:rPr>
        <w:t xml:space="preserve">[P4] </w:t>
      </w:r>
      <w:r>
        <w:t>deep-research-report.md — Local-Only Greenwashing Detection and Prevention for Vietnam (project research source).</w:t>
      </w:r>
    </w:p>
    <w:p>
      <w:pPr>
        <w:pStyle w:val="Small"/>
        <w:spacing w:after="40"/>
      </w:pPr>
      <w:r>
        <w:rPr>
          <w:b/>
        </w:rPr>
        <w:t xml:space="preserve">[R3] </w:t>
      </w:r>
      <w:r>
        <w:t>Calamai, T. et al. (2025). Corporate Greenwashing Detection in Text — a Survey. arXiv:2502.07541.</w:t>
      </w:r>
    </w:p>
    <w:p>
      <w:pPr>
        <w:pStyle w:val="Small"/>
        <w:spacing w:after="40"/>
      </w:pPr>
      <w:r>
        <w:rPr>
          <w:b/>
        </w:rPr>
        <w:t xml:space="preserve">[R4] </w:t>
      </w:r>
      <w:r>
        <w:t>Chen, C.-C. et al. (2025). SemEval-2025 Task 6: Multinational, Multilingual, Multi-Industry Promise Verification. ACL Anthology 2025.semeval-1.321.</w:t>
      </w:r>
    </w:p>
    <w:p>
      <w:pPr>
        <w:pStyle w:val="Small"/>
        <w:spacing w:after="40"/>
      </w:pPr>
      <w:r>
        <w:rPr>
          <w:b/>
        </w:rPr>
        <w:t xml:space="preserve">[R5] </w:t>
      </w:r>
      <w:r>
        <w:t>Santacroce, M. et al. (2026). CLARIESG: An End-to-End System for ESG Analysis over Complex Tables in Corporate Reports. EACL 2026, DOI: 10.18653/v1/2026.eacl-demo.7.</w:t>
      </w:r>
    </w:p>
    <w:p>
      <w:pPr>
        <w:pStyle w:val="Small"/>
        <w:spacing w:after="40"/>
      </w:pPr>
      <w:r>
        <w:rPr>
          <w:b/>
        </w:rPr>
        <w:t xml:space="preserve">[R6] </w:t>
      </w:r>
      <w:r>
        <w:t>Nguyen, L. S. T. &amp; Quan, T. T. (2026). Which Works Best for Vietnamese? A Practical Study of Information Retrieval Methods across Domains. Findings of EACL 2026, DOI: 10.18653/v1/2026.findings-eacl.110.</w:t>
      </w:r>
    </w:p>
    <w:p>
      <w:pPr>
        <w:pStyle w:val="Small"/>
        <w:spacing w:after="40"/>
      </w:pPr>
      <w:r>
        <w:rPr>
          <w:b/>
        </w:rPr>
        <w:t xml:space="preserve">[R7] </w:t>
      </w:r>
      <w:r>
        <w:t>Rosenthal, S. et al. (2026). SemEval-2026 Task 8: MTRAGEval: Evaluating Multi-Turn RAG Conversations. DOI: 10.18653/v1/2026.semeval-1.447.</w:t>
      </w:r>
    </w:p>
    <w:p>
      <w:pPr>
        <w:pStyle w:val="Small"/>
        <w:spacing w:after="40"/>
      </w:pPr>
      <w:r>
        <w:rPr>
          <w:b/>
        </w:rPr>
        <w:t xml:space="preserve">[R8] </w:t>
      </w:r>
      <w:r>
        <w:t>Cymbler, R., Guez, D., &amp; Fabre, L. (2026). Temporal Misgrounding in Legal RAG: A Versioned-Corpus Benchmark for French Tax Law. arXiv:2608.09393.</w:t>
      </w:r>
    </w:p>
    <w:p>
      <w:pPr>
        <w:pStyle w:val="Small"/>
        <w:spacing w:after="40"/>
      </w:pPr>
      <w:r>
        <w:rPr>
          <w:b/>
        </w:rPr>
        <w:t xml:space="preserve">[R9] </w:t>
      </w:r>
      <w:r>
        <w:t>Xiao, J. et al. (2026). From Diagnosis to Correction: Benchmarking and Improving Real-World Table Parsing. arXiv:2608.09842.</w:t>
      </w:r>
    </w:p>
    <w:p>
      <w:pPr>
        <w:pStyle w:val="Small"/>
        <w:spacing w:after="40"/>
      </w:pPr>
      <w:r>
        <w:rPr>
          <w:b/>
        </w:rPr>
        <w:t xml:space="preserve">[R10] </w:t>
      </w:r>
      <w:r>
        <w:t>Bala, A. N. (2026). What Survives Into Context: A Diagnostic for Budget-Constrained Multi-Hop RAG and When Submodular Evidence Packing Improves It. arXiv:2607.00725.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01_CURRENT_PROBLEM_LANDSCAPE | GreenScan AI | 2026.08.13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