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03 — ONE-MONTH RESEARCH ROADMAP</w:t>
      </w:r>
    </w:p>
    <w:p>
      <w:pPr>
        <w:jc w:val="center"/>
      </w:pPr>
      <w:r>
        <w:rPr>
          <w:b/>
          <w:sz w:val="21"/>
        </w:rPr>
        <w:t>Khung thực thi 13/08/2026 → 13/09/2026</w:t>
      </w:r>
    </w:p>
    <w:p>
      <w:pPr>
        <w:jc w:val="center"/>
      </w:pPr>
      <w:r>
        <w:rPr>
          <w:i/>
          <w:sz w:val="17"/>
        </w:rPr>
        <w:t>GreenScan AI Research Source Pack | Version 2026.08.13 | Cập nhật 13/08/2026</w:t>
      </w:r>
    </w:p>
    <w:p/>
    <w:p>
      <w:pPr>
        <w:pStyle w:val="Heading1"/>
      </w:pPr>
      <w:r>
        <w:t>1. Outcome cuối tháng</w:t>
      </w:r>
    </w:p>
    <w:p>
      <w:r>
        <w:t>Không đặt mục tiêu “thêm nhiều tính năng”. Mục tiêu là chứng minh bằng benchmark rằng GreenScan lấy đúng claim, đúng evidence, đúng số, đúng rule và biết khi nào không đủ căn cứ.</w:t>
      </w:r>
    </w:p>
    <w:p>
      <w:pPr>
        <w:pStyle w:val="Heading1"/>
      </w:pPr>
      <w:r>
        <w:t>2. Kế hoạch 4 tuần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224"/>
            <w:shd w:fill="D9EAD3"/>
            <w:vAlign w:val="center"/>
          </w:tcPr>
          <w:p>
            <w:r>
              <w:rPr>
                <w:b/>
                <w:sz w:val="15"/>
              </w:rPr>
              <w:t>Tuần</w:t>
            </w:r>
          </w:p>
        </w:tc>
        <w:tc>
          <w:tcPr>
            <w:tcW w:type="dxa" w:w="2592"/>
            <w:shd w:fill="D9EAD3"/>
            <w:vAlign w:val="center"/>
          </w:tcPr>
          <w:p>
            <w:r>
              <w:rPr>
                <w:b/>
                <w:sz w:val="15"/>
              </w:rPr>
              <w:t>Trọng tâm</w:t>
            </w:r>
          </w:p>
        </w:tc>
        <w:tc>
          <w:tcPr>
            <w:tcW w:type="dxa" w:w="4824"/>
            <w:shd w:fill="D9EAD3"/>
            <w:vAlign w:val="center"/>
          </w:tcPr>
          <w:p>
            <w:r>
              <w:rPr>
                <w:b/>
                <w:sz w:val="15"/>
              </w:rPr>
              <w:t>Deliverable bắt buộc</w:t>
            </w:r>
          </w:p>
        </w:tc>
        <w:tc>
          <w:tcPr>
            <w:tcW w:type="dxa" w:w="1440"/>
            <w:shd w:fill="D9EAD3"/>
            <w:vAlign w:val="center"/>
          </w:tcPr>
          <w:p>
            <w:r>
              <w:rPr>
                <w:b/>
                <w:sz w:val="15"/>
              </w:rPr>
              <w:t>Gate</w:t>
            </w:r>
          </w:p>
        </w:tc>
      </w:tr>
      <w:tr>
        <w:tc>
          <w:tcPr>
            <w:tcW w:type="dxa" w:w="1224"/>
            <w:vAlign w:val="top"/>
            <w:tcMar>
              <w:top w:w="80" w:type="dxa"/>
              <w:start w:w="100" w:type="dxa"/>
              <w:bottom w:w="80" w:type="dxa"/>
              <w:end w:w="100" w:type="dxa"/>
            </w:tcMar>
          </w:tcPr>
          <w:p>
            <w:pPr>
              <w:spacing w:after="0"/>
            </w:pPr>
            <w:r>
              <w:rPr>
                <w:sz w:val="15"/>
              </w:rPr>
              <w:t>W1 13–19/08</w:t>
            </w:r>
          </w:p>
        </w:tc>
        <w:tc>
          <w:tcPr>
            <w:tcW w:type="dxa" w:w="2592"/>
            <w:vAlign w:val="top"/>
            <w:tcMar>
              <w:top w:w="80" w:type="dxa"/>
              <w:start w:w="100" w:type="dxa"/>
              <w:bottom w:w="80" w:type="dxa"/>
              <w:end w:w="100" w:type="dxa"/>
            </w:tcMar>
          </w:tcPr>
          <w:p>
            <w:pPr>
              <w:spacing w:after="0"/>
            </w:pPr>
            <w:r>
              <w:rPr>
                <w:sz w:val="15"/>
              </w:rPr>
              <w:t>Evaluation foundation + task contracts</w:t>
            </w:r>
          </w:p>
        </w:tc>
        <w:tc>
          <w:tcPr>
            <w:tcW w:type="dxa" w:w="4824"/>
            <w:vAlign w:val="top"/>
            <w:tcMar>
              <w:top w:w="80" w:type="dxa"/>
              <w:start w:w="100" w:type="dxa"/>
              <w:bottom w:w="80" w:type="dxa"/>
              <w:end w:w="100" w:type="dxa"/>
            </w:tcMar>
          </w:tcPr>
          <w:p>
            <w:pPr>
              <w:spacing w:after="0"/>
            </w:pPr>
            <w:r>
              <w:rPr>
                <w:sz w:val="15"/>
              </w:rPr>
              <w:t>eval_set_v1; error taxonomy; schema T2–T10; baseline snapshot; tracing fields.</w:t>
            </w:r>
          </w:p>
        </w:tc>
        <w:tc>
          <w:tcPr>
            <w:tcW w:type="dxa" w:w="1440"/>
            <w:vAlign w:val="top"/>
            <w:tcMar>
              <w:top w:w="80" w:type="dxa"/>
              <w:start w:w="100" w:type="dxa"/>
              <w:bottom w:w="80" w:type="dxa"/>
              <w:end w:w="100" w:type="dxa"/>
            </w:tcMar>
          </w:tcPr>
          <w:p>
            <w:pPr>
              <w:spacing w:after="0"/>
            </w:pPr>
            <w:r>
              <w:rPr>
                <w:sz w:val="15"/>
              </w:rPr>
              <w:t>Không tiếp tục tối ưu nếu chưa có metric baseline.</w:t>
            </w:r>
          </w:p>
        </w:tc>
      </w:tr>
      <w:tr>
        <w:tc>
          <w:tcPr>
            <w:tcW w:type="dxa" w:w="1224"/>
            <w:vAlign w:val="top"/>
            <w:tcMar>
              <w:top w:w="80" w:type="dxa"/>
              <w:start w:w="100" w:type="dxa"/>
              <w:bottom w:w="80" w:type="dxa"/>
              <w:end w:w="100" w:type="dxa"/>
            </w:tcMar>
          </w:tcPr>
          <w:p>
            <w:pPr>
              <w:spacing w:after="0"/>
            </w:pPr>
            <w:r>
              <w:rPr>
                <w:sz w:val="15"/>
              </w:rPr>
              <w:t>W2 20–26/08</w:t>
            </w:r>
          </w:p>
        </w:tc>
        <w:tc>
          <w:tcPr>
            <w:tcW w:type="dxa" w:w="2592"/>
            <w:vAlign w:val="top"/>
            <w:tcMar>
              <w:top w:w="80" w:type="dxa"/>
              <w:start w:w="100" w:type="dxa"/>
              <w:bottom w:w="80" w:type="dxa"/>
              <w:end w:w="100" w:type="dxa"/>
            </w:tcMar>
          </w:tcPr>
          <w:p>
            <w:pPr>
              <w:spacing w:after="0"/>
            </w:pPr>
            <w:r>
              <w:rPr>
                <w:sz w:val="15"/>
              </w:rPr>
              <w:t>Document/Table + Vietnamese Retrieval</w:t>
            </w:r>
          </w:p>
        </w:tc>
        <w:tc>
          <w:tcPr>
            <w:tcW w:type="dxa" w:w="4824"/>
            <w:vAlign w:val="top"/>
            <w:tcMar>
              <w:top w:w="80" w:type="dxa"/>
              <w:start w:w="100" w:type="dxa"/>
              <w:bottom w:w="80" w:type="dxa"/>
              <w:end w:w="100" w:type="dxa"/>
            </w:tcMar>
          </w:tcPr>
          <w:p>
            <w:pPr>
              <w:spacing w:after="0"/>
            </w:pPr>
            <w:r>
              <w:rPr>
                <w:sz w:val="15"/>
              </w:rPr>
              <w:t>hard_pdf_v1; parser comparison; BM25/dense/hybrid/reranker ablation; distractor tests.</w:t>
            </w:r>
          </w:p>
        </w:tc>
        <w:tc>
          <w:tcPr>
            <w:tcW w:type="dxa" w:w="1440"/>
            <w:vAlign w:val="top"/>
            <w:tcMar>
              <w:top w:w="80" w:type="dxa"/>
              <w:start w:w="100" w:type="dxa"/>
              <w:bottom w:w="80" w:type="dxa"/>
              <w:end w:w="100" w:type="dxa"/>
            </w:tcMar>
          </w:tcPr>
          <w:p>
            <w:pPr>
              <w:spacing w:after="0"/>
            </w:pPr>
            <w:r>
              <w:rPr>
                <w:sz w:val="15"/>
              </w:rPr>
              <w:t>Chọn parser/retrieval baseline theo metric + latency, không theo cảm tính.</w:t>
            </w:r>
          </w:p>
        </w:tc>
      </w:tr>
      <w:tr>
        <w:tc>
          <w:tcPr>
            <w:tcW w:type="dxa" w:w="1224"/>
            <w:vAlign w:val="top"/>
            <w:tcMar>
              <w:top w:w="80" w:type="dxa"/>
              <w:start w:w="100" w:type="dxa"/>
              <w:bottom w:w="80" w:type="dxa"/>
              <w:end w:w="100" w:type="dxa"/>
            </w:tcMar>
          </w:tcPr>
          <w:p>
            <w:pPr>
              <w:spacing w:after="0"/>
            </w:pPr>
            <w:r>
              <w:rPr>
                <w:sz w:val="15"/>
              </w:rPr>
              <w:t>W3 27/08–02/09</w:t>
            </w:r>
          </w:p>
        </w:tc>
        <w:tc>
          <w:tcPr>
            <w:tcW w:type="dxa" w:w="2592"/>
            <w:vAlign w:val="top"/>
            <w:tcMar>
              <w:top w:w="80" w:type="dxa"/>
              <w:start w:w="100" w:type="dxa"/>
              <w:bottom w:w="80" w:type="dxa"/>
              <w:end w:w="100" w:type="dxa"/>
            </w:tcMar>
          </w:tcPr>
          <w:p>
            <w:pPr>
              <w:spacing w:after="0"/>
            </w:pPr>
            <w:r>
              <w:rPr>
                <w:sz w:val="15"/>
              </w:rPr>
              <w:t>Evidence Sufficiency + Numeric + Temporal Legal</w:t>
            </w:r>
          </w:p>
        </w:tc>
        <w:tc>
          <w:tcPr>
            <w:tcW w:type="dxa" w:w="4824"/>
            <w:vAlign w:val="top"/>
            <w:tcMar>
              <w:top w:w="80" w:type="dxa"/>
              <w:start w:w="100" w:type="dxa"/>
              <w:bottom w:w="80" w:type="dxa"/>
              <w:end w:w="100" w:type="dxa"/>
            </w:tcMar>
          </w:tcPr>
          <w:p>
            <w:pPr>
              <w:spacing w:after="0"/>
            </w:pPr>
            <w:r>
              <w:rPr>
                <w:sz w:val="15"/>
              </w:rPr>
              <w:t>sufficiency labels/model/rules; numeric engine v1; legal metadata effective dates + as_of_date; rule pack v1.</w:t>
            </w:r>
          </w:p>
        </w:tc>
        <w:tc>
          <w:tcPr>
            <w:tcW w:type="dxa" w:w="1440"/>
            <w:vAlign w:val="top"/>
            <w:tcMar>
              <w:top w:w="80" w:type="dxa"/>
              <w:start w:w="100" w:type="dxa"/>
              <w:bottom w:w="80" w:type="dxa"/>
              <w:end w:w="100" w:type="dxa"/>
            </w:tcMar>
          </w:tcPr>
          <w:p>
            <w:pPr>
              <w:spacing w:after="0"/>
            </w:pPr>
            <w:r>
              <w:rPr>
                <w:sz w:val="15"/>
              </w:rPr>
              <w:t>False confident verdict phải giảm; mỗi finding có trace.</w:t>
            </w:r>
          </w:p>
        </w:tc>
      </w:tr>
      <w:tr>
        <w:tc>
          <w:tcPr>
            <w:tcW w:type="dxa" w:w="1224"/>
            <w:vAlign w:val="top"/>
            <w:tcMar>
              <w:top w:w="80" w:type="dxa"/>
              <w:start w:w="100" w:type="dxa"/>
              <w:bottom w:w="80" w:type="dxa"/>
              <w:end w:w="100" w:type="dxa"/>
            </w:tcMar>
          </w:tcPr>
          <w:p>
            <w:pPr>
              <w:spacing w:after="0"/>
            </w:pPr>
            <w:r>
              <w:rPr>
                <w:sz w:val="15"/>
              </w:rPr>
              <w:t>W4 03–13/09</w:t>
            </w:r>
          </w:p>
        </w:tc>
        <w:tc>
          <w:tcPr>
            <w:tcW w:type="dxa" w:w="2592"/>
            <w:vAlign w:val="top"/>
            <w:tcMar>
              <w:top w:w="80" w:type="dxa"/>
              <w:start w:w="100" w:type="dxa"/>
              <w:bottom w:w="80" w:type="dxa"/>
              <w:end w:w="100" w:type="dxa"/>
            </w:tcMar>
          </w:tcPr>
          <w:p>
            <w:pPr>
              <w:spacing w:after="0"/>
            </w:pPr>
            <w:r>
              <w:rPr>
                <w:sz w:val="15"/>
              </w:rPr>
              <w:t>Integration + Release Gate + Research extensions</w:t>
            </w:r>
          </w:p>
        </w:tc>
        <w:tc>
          <w:tcPr>
            <w:tcW w:type="dxa" w:w="4824"/>
            <w:vAlign w:val="top"/>
            <w:tcMar>
              <w:top w:w="80" w:type="dxa"/>
              <w:start w:w="100" w:type="dxa"/>
              <w:bottom w:w="80" w:type="dxa"/>
              <w:end w:w="100" w:type="dxa"/>
            </w:tcMar>
          </w:tcPr>
          <w:p>
            <w:pPr>
              <w:spacing w:after="0"/>
            </w:pPr>
            <w:r>
              <w:rPr>
                <w:sz w:val="15"/>
              </w:rPr>
              <w:t>end-to-end vertical slice; risk–coverage; reviewer UI; regression report; optional context packing/QUBO PoC.</w:t>
            </w:r>
          </w:p>
        </w:tc>
        <w:tc>
          <w:tcPr>
            <w:tcW w:type="dxa" w:w="1440"/>
            <w:vAlign w:val="top"/>
            <w:tcMar>
              <w:top w:w="80" w:type="dxa"/>
              <w:start w:w="100" w:type="dxa"/>
              <w:bottom w:w="80" w:type="dxa"/>
              <w:end w:w="100" w:type="dxa"/>
            </w:tcMar>
          </w:tcPr>
          <w:p>
            <w:pPr>
              <w:spacing w:after="0"/>
            </w:pPr>
            <w:r>
              <w:rPr>
                <w:sz w:val="15"/>
              </w:rPr>
              <w:t>Release candidate chỉ qua khi stage gates đạt threshold đã khóa.</w:t>
            </w:r>
          </w:p>
        </w:tc>
      </w:tr>
    </w:tbl>
    <w:p/>
    <w:p>
      <w:pPr>
        <w:pStyle w:val="Heading1"/>
      </w:pPr>
      <w:r>
        <w:t>3. Milestone checklist</w:t>
      </w:r>
    </w:p>
    <w:p>
      <w:pPr>
        <w:pStyle w:val="Heading2"/>
      </w:pPr>
      <w:r>
        <w:t>W1 — Foundation</w:t>
      </w:r>
    </w:p>
    <w:p>
      <w:pPr>
        <w:ind w:left="0" w:hanging="202"/>
      </w:pPr>
      <w:r>
        <w:rPr>
          <w:b/>
        </w:rPr>
        <w:t xml:space="preserve">• </w:t>
      </w:r>
      <w:r>
        <w:t>[ ] Khóa claim/evidence schema v1</w:t>
      </w:r>
    </w:p>
    <w:p>
      <w:pPr>
        <w:ind w:left="0" w:hanging="202"/>
      </w:pPr>
      <w:r>
        <w:rPr>
          <w:b/>
        </w:rPr>
        <w:t xml:space="preserve">• </w:t>
      </w:r>
      <w:r>
        <w:t>[ ] Tạo eval_set_v1 manifest</w:t>
      </w:r>
    </w:p>
    <w:p>
      <w:pPr>
        <w:ind w:left="0" w:hanging="202"/>
      </w:pPr>
      <w:r>
        <w:rPr>
          <w:b/>
        </w:rPr>
        <w:t xml:space="preserve">• </w:t>
      </w:r>
      <w:r>
        <w:t>[ ] Định nghĩa critical error vs non-critical error</w:t>
      </w:r>
    </w:p>
    <w:p>
      <w:pPr>
        <w:ind w:left="0" w:hanging="202"/>
      </w:pPr>
      <w:r>
        <w:rPr>
          <w:b/>
        </w:rPr>
        <w:t xml:space="preserve">• </w:t>
      </w:r>
      <w:r>
        <w:t>[ ] Baseline toàn pipeline và stage-level metrics</w:t>
      </w:r>
    </w:p>
    <w:p>
      <w:pPr>
        <w:ind w:left="0" w:hanging="202"/>
      </w:pPr>
      <w:r>
        <w:rPr>
          <w:b/>
        </w:rPr>
        <w:t xml:space="preserve">• </w:t>
      </w:r>
      <w:r>
        <w:t>[ ] Trace model/index/rule/data versions</w:t>
      </w:r>
    </w:p>
    <w:p>
      <w:pPr>
        <w:pStyle w:val="Heading2"/>
      </w:pPr>
      <w:r>
        <w:t>W2 — Retrieval &amp; Parsing</w:t>
      </w:r>
    </w:p>
    <w:p>
      <w:pPr>
        <w:ind w:left="0" w:hanging="202"/>
      </w:pPr>
      <w:r>
        <w:rPr>
          <w:b/>
        </w:rPr>
        <w:t xml:space="preserve">• </w:t>
      </w:r>
      <w:r>
        <w:t>[ ] 50–100 hard pages/tables</w:t>
      </w:r>
    </w:p>
    <w:p>
      <w:pPr>
        <w:ind w:left="0" w:hanging="202"/>
      </w:pPr>
      <w:r>
        <w:rPr>
          <w:b/>
        </w:rPr>
        <w:t xml:space="preserve">• </w:t>
      </w:r>
      <w:r>
        <w:t>[ ] Parser comparison + critical numeric cell errors</w:t>
      </w:r>
    </w:p>
    <w:p>
      <w:pPr>
        <w:ind w:left="0" w:hanging="202"/>
      </w:pPr>
      <w:r>
        <w:rPr>
          <w:b/>
        </w:rPr>
        <w:t xml:space="preserve">• </w:t>
      </w:r>
      <w:r>
        <w:t>[ ] Retrieval benchmark tiếng Việt</w:t>
      </w:r>
    </w:p>
    <w:p>
      <w:pPr>
        <w:ind w:left="0" w:hanging="202"/>
      </w:pPr>
      <w:r>
        <w:rPr>
          <w:b/>
        </w:rPr>
        <w:t xml:space="preserve">• </w:t>
      </w:r>
      <w:r>
        <w:t>[ ] Top-k/chunk/reranker ablation</w:t>
      </w:r>
    </w:p>
    <w:p>
      <w:pPr>
        <w:ind w:left="0" w:hanging="202"/>
      </w:pPr>
      <w:r>
        <w:rPr>
          <w:b/>
        </w:rPr>
        <w:t xml:space="preserve">• </w:t>
      </w:r>
      <w:r>
        <w:t>[ ] Distractor injection + error analysis</w:t>
      </w:r>
    </w:p>
    <w:p>
      <w:pPr>
        <w:pStyle w:val="Heading2"/>
      </w:pPr>
      <w:r>
        <w:t>W3 — Verification</w:t>
      </w:r>
    </w:p>
    <w:p>
      <w:pPr>
        <w:ind w:left="0" w:hanging="202"/>
      </w:pPr>
      <w:r>
        <w:rPr>
          <w:b/>
        </w:rPr>
        <w:t xml:space="preserve">• </w:t>
      </w:r>
      <w:r>
        <w:t>[ ] Sufficiency reason taxonomy</w:t>
      </w:r>
    </w:p>
    <w:p>
      <w:pPr>
        <w:ind w:left="0" w:hanging="202"/>
      </w:pPr>
      <w:r>
        <w:rPr>
          <w:b/>
        </w:rPr>
        <w:t xml:space="preserve">• </w:t>
      </w:r>
      <w:r>
        <w:t>[ ] Numeric unit/baseline/scope engine</w:t>
      </w:r>
    </w:p>
    <w:p>
      <w:pPr>
        <w:ind w:left="0" w:hanging="202"/>
      </w:pPr>
      <w:r>
        <w:rPr>
          <w:b/>
        </w:rPr>
        <w:t xml:space="preserve">• </w:t>
      </w:r>
      <w:r>
        <w:t>[ ] Cross-table/cross-year test cases</w:t>
      </w:r>
    </w:p>
    <w:p>
      <w:pPr>
        <w:ind w:left="0" w:hanging="202"/>
      </w:pPr>
      <w:r>
        <w:rPr>
          <w:b/>
        </w:rPr>
        <w:t xml:space="preserve">• </w:t>
      </w:r>
      <w:r>
        <w:t>[ ] Legal clause effective dates + applicability</w:t>
      </w:r>
    </w:p>
    <w:p>
      <w:pPr>
        <w:ind w:left="0" w:hanging="202"/>
      </w:pPr>
      <w:r>
        <w:rPr>
          <w:b/>
        </w:rPr>
        <w:t xml:space="preserve">• </w:t>
      </w:r>
      <w:r>
        <w:t>[ ] Abstain calibration</w:t>
      </w:r>
    </w:p>
    <w:p>
      <w:pPr>
        <w:pStyle w:val="Heading2"/>
      </w:pPr>
      <w:r>
        <w:t>W4 — Integration</w:t>
      </w:r>
    </w:p>
    <w:p>
      <w:pPr>
        <w:ind w:left="0" w:hanging="202"/>
      </w:pPr>
      <w:r>
        <w:rPr>
          <w:b/>
        </w:rPr>
        <w:t xml:space="preserve">• </w:t>
      </w:r>
      <w:r>
        <w:t>[ ] End-to-end 20–50 case demo set</w:t>
      </w:r>
    </w:p>
    <w:p>
      <w:pPr>
        <w:ind w:left="0" w:hanging="202"/>
      </w:pPr>
      <w:r>
        <w:rPr>
          <w:b/>
        </w:rPr>
        <w:t xml:space="preserve">• </w:t>
      </w:r>
      <w:r>
        <w:t>[ ] Evidence UI supports reviewer verification</w:t>
      </w:r>
    </w:p>
    <w:p>
      <w:pPr>
        <w:ind w:left="0" w:hanging="202"/>
      </w:pPr>
      <w:r>
        <w:rPr>
          <w:b/>
        </w:rPr>
        <w:t xml:space="preserve">• </w:t>
      </w:r>
      <w:r>
        <w:t>[ ] Regression gate automated</w:t>
      </w:r>
    </w:p>
    <w:p>
      <w:pPr>
        <w:ind w:left="0" w:hanging="202"/>
      </w:pPr>
      <w:r>
        <w:rPr>
          <w:b/>
        </w:rPr>
        <w:t xml:space="preserve">• </w:t>
      </w:r>
      <w:r>
        <w:t>[ ] Research report: what improved / what did not</w:t>
      </w:r>
    </w:p>
    <w:p>
      <w:pPr>
        <w:ind w:left="0" w:hanging="202"/>
      </w:pPr>
      <w:r>
        <w:rPr>
          <w:b/>
        </w:rPr>
        <w:t xml:space="preserve">• </w:t>
      </w:r>
      <w:r>
        <w:t>[ ] P2 experiment only if P0 gates pass</w:t>
      </w:r>
    </w:p>
    <w:p>
      <w:pPr>
        <w:pStyle w:val="Heading1"/>
      </w:pPr>
      <w:r>
        <w:t>4. Daily/weekly operating cadence</w:t>
      </w:r>
    </w:p>
    <w:tbl>
      <w:tblPr>
        <w:tblStyle w:val="TableGrid"/>
        <w:tblW w:type="auto" w:w="0"/>
        <w:jc w:val="center"/>
        <w:tblLook w:firstColumn="1" w:firstRow="1" w:lastColumn="0" w:lastRow="0" w:noHBand="0" w:noVBand="1" w:val="04A0"/>
      </w:tblPr>
      <w:tblGrid>
        <w:gridCol w:w="3427"/>
        <w:gridCol w:w="3427"/>
        <w:gridCol w:w="3427"/>
      </w:tblGrid>
      <w:tr>
        <w:tc>
          <w:tcPr>
            <w:tcW w:type="dxa" w:w="1440"/>
            <w:shd w:fill="D9EAD3"/>
            <w:vAlign w:val="center"/>
          </w:tcPr>
          <w:p>
            <w:r>
              <w:rPr>
                <w:b/>
                <w:sz w:val="16"/>
              </w:rPr>
              <w:t>Cadence</w:t>
            </w:r>
          </w:p>
        </w:tc>
        <w:tc>
          <w:tcPr>
            <w:tcW w:type="dxa" w:w="5040"/>
            <w:shd w:fill="D9EAD3"/>
            <w:vAlign w:val="center"/>
          </w:tcPr>
          <w:p>
            <w:r>
              <w:rPr>
                <w:b/>
                <w:sz w:val="16"/>
              </w:rPr>
              <w:t>Hoạt động</w:t>
            </w:r>
          </w:p>
        </w:tc>
        <w:tc>
          <w:tcPr>
            <w:tcW w:type="dxa" w:w="3600"/>
            <w:shd w:fill="D9EAD3"/>
            <w:vAlign w:val="center"/>
          </w:tcPr>
          <w:p>
            <w:r>
              <w:rPr>
                <w:b/>
                <w:sz w:val="16"/>
              </w:rPr>
              <w:t>Output</w:t>
            </w:r>
          </w:p>
        </w:tc>
      </w:tr>
      <w:tr>
        <w:tc>
          <w:tcPr>
            <w:tcW w:type="dxa" w:w="1440"/>
            <w:vAlign w:val="top"/>
            <w:tcMar>
              <w:top w:w="80" w:type="dxa"/>
              <w:start w:w="100" w:type="dxa"/>
              <w:bottom w:w="80" w:type="dxa"/>
              <w:end w:w="100" w:type="dxa"/>
            </w:tcMar>
          </w:tcPr>
          <w:p>
            <w:pPr>
              <w:spacing w:after="0"/>
            </w:pPr>
            <w:r>
              <w:rPr>
                <w:sz w:val="16"/>
              </w:rPr>
              <w:t>Daily 10–15m</w:t>
            </w:r>
          </w:p>
        </w:tc>
        <w:tc>
          <w:tcPr>
            <w:tcW w:type="dxa" w:w="5040"/>
            <w:vAlign w:val="top"/>
            <w:tcMar>
              <w:top w:w="80" w:type="dxa"/>
              <w:start w:w="100" w:type="dxa"/>
              <w:bottom w:w="80" w:type="dxa"/>
              <w:end w:w="100" w:type="dxa"/>
            </w:tcMar>
          </w:tcPr>
          <w:p>
            <w:pPr>
              <w:spacing w:after="0"/>
            </w:pPr>
            <w:r>
              <w:rPr>
                <w:sz w:val="16"/>
              </w:rPr>
              <w:t>Review failed cases mới, không chỉ task progress.</w:t>
            </w:r>
          </w:p>
        </w:tc>
        <w:tc>
          <w:tcPr>
            <w:tcW w:type="dxa" w:w="3600"/>
            <w:vAlign w:val="top"/>
            <w:tcMar>
              <w:top w:w="80" w:type="dxa"/>
              <w:start w:w="100" w:type="dxa"/>
              <w:bottom w:w="80" w:type="dxa"/>
              <w:end w:w="100" w:type="dxa"/>
            </w:tcMar>
          </w:tcPr>
          <w:p>
            <w:pPr>
              <w:spacing w:after="0"/>
            </w:pPr>
            <w:r>
              <w:rPr>
                <w:sz w:val="16"/>
              </w:rPr>
              <w:t>Top-3 failures + owner + expected fix.</w:t>
            </w:r>
          </w:p>
        </w:tc>
      </w:tr>
      <w:tr>
        <w:tc>
          <w:tcPr>
            <w:tcW w:type="dxa" w:w="1440"/>
            <w:vAlign w:val="top"/>
            <w:tcMar>
              <w:top w:w="80" w:type="dxa"/>
              <w:start w:w="100" w:type="dxa"/>
              <w:bottom w:w="80" w:type="dxa"/>
              <w:end w:w="100" w:type="dxa"/>
            </w:tcMar>
          </w:tcPr>
          <w:p>
            <w:pPr>
              <w:spacing w:after="0"/>
            </w:pPr>
            <w:r>
              <w:rPr>
                <w:sz w:val="16"/>
              </w:rPr>
              <w:t>2×/week</w:t>
            </w:r>
          </w:p>
        </w:tc>
        <w:tc>
          <w:tcPr>
            <w:tcW w:type="dxa" w:w="5040"/>
            <w:vAlign w:val="top"/>
            <w:tcMar>
              <w:top w:w="80" w:type="dxa"/>
              <w:start w:w="100" w:type="dxa"/>
              <w:bottom w:w="80" w:type="dxa"/>
              <w:end w:w="100" w:type="dxa"/>
            </w:tcMar>
          </w:tcPr>
          <w:p>
            <w:pPr>
              <w:spacing w:after="0"/>
            </w:pPr>
            <w:r>
              <w:rPr>
                <w:sz w:val="16"/>
              </w:rPr>
              <w:t>Run regression subset sau thay đổi parser/retrieval/rules.</w:t>
            </w:r>
          </w:p>
        </w:tc>
        <w:tc>
          <w:tcPr>
            <w:tcW w:type="dxa" w:w="3600"/>
            <w:vAlign w:val="top"/>
            <w:tcMar>
              <w:top w:w="80" w:type="dxa"/>
              <w:start w:w="100" w:type="dxa"/>
              <w:bottom w:w="80" w:type="dxa"/>
              <w:end w:w="100" w:type="dxa"/>
            </w:tcMar>
          </w:tcPr>
          <w:p>
            <w:pPr>
              <w:spacing w:after="0"/>
            </w:pPr>
            <w:r>
              <w:rPr>
                <w:sz w:val="16"/>
              </w:rPr>
              <w:t>Comparison vs baseline snapshot.</w:t>
            </w:r>
          </w:p>
        </w:tc>
      </w:tr>
      <w:tr>
        <w:tc>
          <w:tcPr>
            <w:tcW w:type="dxa" w:w="1440"/>
            <w:vAlign w:val="top"/>
            <w:tcMar>
              <w:top w:w="80" w:type="dxa"/>
              <w:start w:w="100" w:type="dxa"/>
              <w:bottom w:w="80" w:type="dxa"/>
              <w:end w:w="100" w:type="dxa"/>
            </w:tcMar>
          </w:tcPr>
          <w:p>
            <w:pPr>
              <w:spacing w:after="0"/>
            </w:pPr>
            <w:r>
              <w:rPr>
                <w:sz w:val="16"/>
              </w:rPr>
              <w:t>Weekly</w:t>
            </w:r>
          </w:p>
        </w:tc>
        <w:tc>
          <w:tcPr>
            <w:tcW w:type="dxa" w:w="5040"/>
            <w:vAlign w:val="top"/>
            <w:tcMar>
              <w:top w:w="80" w:type="dxa"/>
              <w:start w:w="100" w:type="dxa"/>
              <w:bottom w:w="80" w:type="dxa"/>
              <w:end w:w="100" w:type="dxa"/>
            </w:tcMar>
          </w:tcPr>
          <w:p>
            <w:pPr>
              <w:spacing w:after="0"/>
            </w:pPr>
            <w:r>
              <w:rPr>
                <w:sz w:val="16"/>
              </w:rPr>
              <w:t>Research reading review: paper → hypothesis → experiment.</w:t>
            </w:r>
          </w:p>
        </w:tc>
        <w:tc>
          <w:tcPr>
            <w:tcW w:type="dxa" w:w="3600"/>
            <w:vAlign w:val="top"/>
            <w:tcMar>
              <w:top w:w="80" w:type="dxa"/>
              <w:start w:w="100" w:type="dxa"/>
              <w:bottom w:w="80" w:type="dxa"/>
              <w:end w:w="100" w:type="dxa"/>
            </w:tcMar>
          </w:tcPr>
          <w:p>
            <w:pPr>
              <w:spacing w:after="0"/>
            </w:pPr>
            <w:r>
              <w:rPr>
                <w:sz w:val="16"/>
              </w:rPr>
              <w:t>Chỉ giữ paper tạo action/experiment rõ.</w:t>
            </w:r>
          </w:p>
        </w:tc>
      </w:tr>
      <w:tr>
        <w:tc>
          <w:tcPr>
            <w:tcW w:type="dxa" w:w="1440"/>
            <w:vAlign w:val="top"/>
            <w:tcMar>
              <w:top w:w="80" w:type="dxa"/>
              <w:start w:w="100" w:type="dxa"/>
              <w:bottom w:w="80" w:type="dxa"/>
              <w:end w:w="100" w:type="dxa"/>
            </w:tcMar>
          </w:tcPr>
          <w:p>
            <w:pPr>
              <w:spacing w:after="0"/>
            </w:pPr>
            <w:r>
              <w:rPr>
                <w:sz w:val="16"/>
              </w:rPr>
              <w:t>End of week</w:t>
            </w:r>
          </w:p>
        </w:tc>
        <w:tc>
          <w:tcPr>
            <w:tcW w:type="dxa" w:w="5040"/>
            <w:vAlign w:val="top"/>
            <w:tcMar>
              <w:top w:w="80" w:type="dxa"/>
              <w:start w:w="100" w:type="dxa"/>
              <w:bottom w:w="80" w:type="dxa"/>
              <w:end w:w="100" w:type="dxa"/>
            </w:tcMar>
          </w:tcPr>
          <w:p>
            <w:pPr>
              <w:spacing w:after="0"/>
            </w:pPr>
            <w:r>
              <w:rPr>
                <w:sz w:val="16"/>
              </w:rPr>
              <w:t>Gate review với metric và failure examples.</w:t>
            </w:r>
          </w:p>
        </w:tc>
        <w:tc>
          <w:tcPr>
            <w:tcW w:type="dxa" w:w="3600"/>
            <w:vAlign w:val="top"/>
            <w:tcMar>
              <w:top w:w="80" w:type="dxa"/>
              <w:start w:w="100" w:type="dxa"/>
              <w:bottom w:w="80" w:type="dxa"/>
              <w:end w:w="100" w:type="dxa"/>
            </w:tcMar>
          </w:tcPr>
          <w:p>
            <w:pPr>
              <w:spacing w:after="0"/>
            </w:pPr>
            <w:r>
              <w:rPr>
                <w:sz w:val="16"/>
              </w:rPr>
              <w:t>Go / Fix / Defer quyết định có căn cứ.</w:t>
            </w:r>
          </w:p>
        </w:tc>
      </w:tr>
    </w:tbl>
    <w:p/>
    <w:p>
      <w:pPr>
        <w:pStyle w:val="Heading1"/>
      </w:pPr>
      <w:r>
        <w:t>5. Rủi ro tiến độ cần tránh</w:t>
      </w:r>
    </w:p>
    <w:p>
      <w:pPr>
        <w:ind w:left="0" w:hanging="202"/>
      </w:pPr>
      <w:r>
        <w:rPr>
          <w:b/>
        </w:rPr>
        <w:t xml:space="preserve">• </w:t>
      </w:r>
      <w:r>
        <w:t>Tối ưu model khi dataset/metric chưa ổn định.</w:t>
      </w:r>
    </w:p>
    <w:p>
      <w:pPr>
        <w:ind w:left="0" w:hanging="202"/>
      </w:pPr>
      <w:r>
        <w:rPr>
          <w:b/>
        </w:rPr>
        <w:t xml:space="preserve">• </w:t>
      </w:r>
      <w:r>
        <w:t>Thêm GraphRAG/agents vì “trông hiện đại” trong khi retrieval/evidence sufficiency còn yếu.</w:t>
      </w:r>
    </w:p>
    <w:p>
      <w:pPr>
        <w:ind w:left="0" w:hanging="202"/>
      </w:pPr>
      <w:r>
        <w:rPr>
          <w:b/>
        </w:rPr>
        <w:t xml:space="preserve">• </w:t>
      </w:r>
      <w:r>
        <w:t>Dùng LLM-as-judge làm metric duy nhất cho legal/numeric correctness.</w:t>
      </w:r>
    </w:p>
    <w:p>
      <w:pPr>
        <w:ind w:left="0" w:hanging="202"/>
      </w:pPr>
      <w:r>
        <w:rPr>
          <w:b/>
        </w:rPr>
        <w:t xml:space="preserve">• </w:t>
      </w:r>
      <w:r>
        <w:t>Trộn lỗi parser với lỗi retrieval khiến không xác định được root cause.</w:t>
      </w:r>
    </w:p>
    <w:p>
      <w:pPr>
        <w:ind w:left="0" w:hanging="202"/>
      </w:pPr>
      <w:r>
        <w:rPr>
          <w:b/>
        </w:rPr>
        <w:t xml:space="preserve">• </w:t>
      </w:r>
      <w:r>
        <w:t>Gán nhãn greenwashing ở cấp doanh nghiệp thay vì claim-level evidence adjudication.</w:t>
      </w:r>
    </w:p>
    <w:p>
      <w:pPr>
        <w:ind w:left="0" w:hanging="202"/>
      </w:pPr>
      <w:r>
        <w:rPr>
          <w:b/>
        </w:rPr>
        <w:t xml:space="preserve">• </w:t>
      </w:r>
      <w:r>
        <w:t>Để UI quay lại thành leaderboard/ESG score thay vì evidence verification workflow.</w:t>
      </w:r>
    </w:p>
    <w:p>
      <w:pPr>
        <w:pStyle w:val="Heading2"/>
      </w:pPr>
      <w:r>
        <w:t>Nguồn nền</w:t>
      </w:r>
    </w:p>
    <w:p>
      <w:pPr>
        <w:pStyle w:val="Small"/>
        <w:spacing w:after="40"/>
      </w:pPr>
      <w:r>
        <w:rPr>
          <w:b/>
        </w:rPr>
        <w:t xml:space="preserve">[P1] </w:t>
      </w:r>
      <w:r>
        <w:t>GreenScan_AI_Ho_so_du_thi_vong_1_final_scrubbed.docx (project source, 30/07/2026).</w:t>
      </w:r>
    </w:p>
    <w:p>
      <w:pPr>
        <w:pStyle w:val="Small"/>
        <w:spacing w:after="40"/>
      </w:pPr>
      <w:r>
        <w:rPr>
          <w:b/>
        </w:rPr>
        <w:t xml:space="preserve">[P2] </w:t>
      </w:r>
      <w:r>
        <w:t>AI-QUANTUM.docx (project source, 30/07/2026).</w:t>
      </w:r>
    </w:p>
    <w:p>
      <w:pPr>
        <w:pStyle w:val="Small"/>
        <w:spacing w:after="40"/>
      </w:pPr>
      <w:r>
        <w:rPr>
          <w:b/>
        </w:rPr>
        <w:t xml:space="preserve">[R5] </w:t>
      </w:r>
      <w:r>
        <w:t>Santacroce, M. et al. (2026). CLARIESG: An End-to-End System for ESG Analysis over Complex Tables in Corporate Reports. EACL 2026, DOI: 10.18653/v1/2026.eacl-demo.7.</w:t>
      </w:r>
    </w:p>
    <w:p>
      <w:pPr>
        <w:pStyle w:val="Small"/>
        <w:spacing w:after="40"/>
      </w:pPr>
      <w:r>
        <w:rPr>
          <w:b/>
        </w:rPr>
        <w:t xml:space="preserve">[R6] </w:t>
      </w:r>
      <w:r>
        <w:t>Nguyen, L. S. T. &amp; Quan, T. T. (2026). Which Works Best for Vietnamese? A Practical Study of Information Retrieval Methods across Domains. Findings of EACL 2026, DOI: 10.18653/v1/2026.findings-eacl.110.</w:t>
      </w:r>
    </w:p>
    <w:p>
      <w:pPr>
        <w:pStyle w:val="Small"/>
        <w:spacing w:after="40"/>
      </w:pPr>
      <w:r>
        <w:rPr>
          <w:b/>
        </w:rPr>
        <w:t xml:space="preserve">[R7] </w:t>
      </w:r>
      <w:r>
        <w:t>Rosenthal, S. et al. (2026). SemEval-2026 Task 8: MTRAGEval: Evaluating Multi-Turn RAG Conversations. DOI: 10.18653/v1/2026.semeval-1.447.</w:t>
      </w:r>
    </w:p>
    <w:p>
      <w:pPr>
        <w:pStyle w:val="Small"/>
        <w:spacing w:after="40"/>
      </w:pPr>
      <w:r>
        <w:rPr>
          <w:b/>
        </w:rPr>
        <w:t xml:space="preserve">[R8] </w:t>
      </w:r>
      <w:r>
        <w:t>Cymbler, R., Guez, D., &amp; Fabre, L. (2026). Temporal Misgrounding in Legal RAG: A Versioned-Corpus Benchmark for French Tax Law. arXiv:2608.09393.</w:t>
      </w:r>
    </w:p>
    <w:p>
      <w:pPr>
        <w:pStyle w:val="Small"/>
        <w:spacing w:after="40"/>
      </w:pPr>
      <w:r>
        <w:rPr>
          <w:b/>
        </w:rPr>
        <w:t xml:space="preserve">[R9] </w:t>
      </w:r>
      <w:r>
        <w:t>Xiao, J. et al. (2026). From Diagnosis to Correction: Benchmarking and Improving Real-World Table Parsing. arXiv:2608.09842.</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03_ONE_MONTH_RESEARCH_ROADMAP | GreenScan AI | 2026.08.13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Liberation Sans" w:hAnsi="Liberation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