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— EVALUATION, EXPERIMENT &amp; RELEASE GATE</w:t>
      </w:r>
    </w:p>
    <w:p>
      <w:pPr>
        <w:jc w:val="center"/>
      </w:pPr>
      <w:r>
        <w:rPr>
          <w:b/>
          <w:sz w:val="21"/>
        </w:rPr>
        <w:t>Khung benchmark để biết hệ thống sai ở đâu và phiên bản mới có thật sự tốt hơn</w:t>
      </w:r>
    </w:p>
    <w:p>
      <w:pPr>
        <w:jc w:val="center"/>
      </w:pPr>
      <w:r>
        <w:rPr>
          <w:i/>
          <w:sz w:val="17"/>
        </w:rPr>
        <w:t>GreenScan AI Research Source Pack | Version 2026.08.13 | Cập nhật 13/08/2026</w:t>
      </w:r>
    </w:p>
    <w:p/>
    <w:p>
      <w:pPr>
        <w:pStyle w:val="Heading1"/>
      </w:pPr>
      <w:r>
        <w:t>1. Evaluation dataset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440"/>
            <w:shd w:fill="D9EAD3"/>
            <w:vAlign w:val="center"/>
          </w:tcPr>
          <w:p>
            <w:r>
              <w:rPr>
                <w:b/>
                <w:sz w:val="16"/>
              </w:rPr>
              <w:t>Split</w:t>
            </w:r>
          </w:p>
        </w:tc>
        <w:tc>
          <w:tcPr>
            <w:tcW w:type="dxa" w:w="4320"/>
            <w:shd w:fill="D9EAD3"/>
            <w:vAlign w:val="center"/>
          </w:tcPr>
          <w:p>
            <w:r>
              <w:rPr>
                <w:b/>
                <w:sz w:val="16"/>
              </w:rPr>
              <w:t>Mục đích</w:t>
            </w:r>
          </w:p>
        </w:tc>
        <w:tc>
          <w:tcPr>
            <w:tcW w:type="dxa" w:w="4320"/>
            <w:shd w:fill="D9EAD3"/>
            <w:vAlign w:val="center"/>
          </w:tcPr>
          <w:p>
            <w:r>
              <w:rPr>
                <w:b/>
                <w:sz w:val="16"/>
              </w:rPr>
              <w:t>Quy tắc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Tối ưu prompt/retrieval/rules.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Có thể xem labels; versioned snapshot.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test/hold-out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Đánh giá cuối milestone.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Không dùng để tune; freeze trước sprint.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hard-set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Tập trung scan/table/distractor/temporal/omission.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Không đại diện prevalence; dùng chẩn đoán.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Các case từng lỗi đã sửa.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Mọi release candidate phải chạy lại.</w:t>
            </w:r>
          </w:p>
        </w:tc>
      </w:tr>
    </w:tbl>
    <w:p/>
    <w:p>
      <w:pPr>
        <w:pStyle w:val="Heading1"/>
      </w:pPr>
      <w:r>
        <w:t>2. Metrics theo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440"/>
            <w:shd w:fill="D9EAD3"/>
            <w:vAlign w:val="center"/>
          </w:tcPr>
          <w:p>
            <w:r>
              <w:rPr>
                <w:b/>
                <w:sz w:val="14"/>
              </w:rPr>
              <w:t>Stage</w:t>
            </w:r>
          </w:p>
        </w:tc>
        <w:tc>
          <w:tcPr>
            <w:tcW w:type="dxa" w:w="4896"/>
            <w:shd w:fill="D9EAD3"/>
            <w:vAlign w:val="center"/>
          </w:tcPr>
          <w:p>
            <w:r>
              <w:rPr>
                <w:b/>
                <w:sz w:val="14"/>
              </w:rPr>
              <w:t>Metrics chính</w:t>
            </w:r>
          </w:p>
        </w:tc>
        <w:tc>
          <w:tcPr>
            <w:tcW w:type="dxa" w:w="3744"/>
            <w:shd w:fill="D9EAD3"/>
            <w:vAlign w:val="center"/>
          </w:tcPr>
          <w:p>
            <w:r>
              <w:rPr>
                <w:b/>
                <w:sz w:val="14"/>
              </w:rPr>
              <w:t>Critical failure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T2 Parsing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CER/WER (phụ); table TEDS/cell match; reading order; provenance completeness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Nhầm năm/giá trị/ô bảng; mất source coordinates.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T3 Claim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Precision/Recall/F1; per-family recall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Bỏ sót quantitative/legal/use-of-proceeds claim.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T4 Normalize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Field F1; numeric/unit validity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Sai baseline/scope/unit làm phép tính sai.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T5 Retrieval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Recall@k; nDCG@k; MRR; evidence precision; latency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Gold evidence không vào candidate/final context.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T6 Sufficiency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Macro-F1; insufficiency precision/recall; coverage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Confident verdict khi evidence thiếu.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T7 Numeric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Exact/tolerance accuracy; unit-conversion accuracy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Sai phép tính nhưng vẫn output confident.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T8 Legal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Clause retrieval recall; applicability/version accuracy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Đúng điều nhưng sai phiên bản/thời điểm.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T9 Verdict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Macro-F1; per-label F1; false-negative/false-confident rate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Contradicted ↔ Supported hoặc Insufficient ↔ verdict ép buộc.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T10 Abstain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ECE/Brier; risk–coverage/selective risk; abstain utility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Coverage cao bằng cách bỏ abstain an toàn.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T11 Citation/UI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Citation precision; evidence trace completeness; reviewer override/time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Không truy được về trang/bảng/ô nguồn.</w:t>
            </w:r>
          </w:p>
        </w:tc>
      </w:tr>
    </w:tbl>
    <w:p/>
    <w:p>
      <w:pPr>
        <w:pStyle w:val="Heading1"/>
      </w:pPr>
      <w:r>
        <w:t>3. Retrieval ablation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D9EAD3"/>
            <w:vAlign w:val="center"/>
          </w:tcPr>
          <w:p>
            <w:r>
              <w:rPr>
                <w:b/>
                <w:sz w:val="16"/>
              </w:rPr>
              <w:t>Biến</w:t>
            </w:r>
          </w:p>
        </w:tc>
        <w:tc>
          <w:tcPr>
            <w:tcW w:type="dxa" w:w="7200"/>
            <w:shd w:fill="D9EAD3"/>
            <w:vAlign w:val="center"/>
          </w:tcPr>
          <w:p>
            <w:r>
              <w:rPr>
                <w:b/>
                <w:sz w:val="16"/>
              </w:rPr>
              <w:t>Giá trị thử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Retriever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BM25 | Dense | Hybrid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Fusion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RRF | weighted RRF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 k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 | 20 | 50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Reranker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None | multilingual cross-encoder | domain-tuned if available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evidence k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 | 5 | 8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Chunk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256 | 512 | 1024 tokens; child→parent optional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Query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Raw claim | normalized claim | multi-query/rewrite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Noise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 | 1 | 3 | 5 high-similarity distractors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Metric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Recall@k, nDCG, answer/evidence-in-context, verdict delta, latency</w:t>
            </w:r>
          </w:p>
        </w:tc>
      </w:tr>
    </w:tbl>
    <w:p/>
    <w:p>
      <w:pPr>
        <w:pStyle w:val="Heading1"/>
      </w:pPr>
      <w:r>
        <w:t>4. Parser hard-set design</w:t>
      </w:r>
    </w:p>
    <w:p>
      <w:pPr>
        <w:ind w:left="0" w:hanging="202"/>
      </w:pPr>
      <w:r>
        <w:rPr>
          <w:b/>
        </w:rPr>
        <w:t xml:space="preserve">• </w:t>
      </w:r>
      <w:r>
        <w:t>Merged cells / multi-level headers / rotated text / footnotes / multi-page tables.</w:t>
      </w:r>
    </w:p>
    <w:p>
      <w:pPr>
        <w:ind w:left="0" w:hanging="202"/>
      </w:pPr>
      <w:r>
        <w:rPr>
          <w:b/>
        </w:rPr>
        <w:t xml:space="preserve">• </w:t>
      </w:r>
      <w:r>
        <w:t>Scan blur/skew; image-based reports; Vietnamese diacritics; small-font tables.</w:t>
      </w:r>
    </w:p>
    <w:p>
      <w:pPr>
        <w:ind w:left="0" w:hanging="202"/>
      </w:pPr>
      <w:r>
        <w:rPr>
          <w:b/>
        </w:rPr>
        <w:t xml:space="preserve">• </w:t>
      </w:r>
      <w:r>
        <w:t>Same metric across years in adjacent rows/columns to detect year swapping.</w:t>
      </w:r>
    </w:p>
    <w:p>
      <w:pPr>
        <w:ind w:left="0" w:hanging="202"/>
      </w:pPr>
      <w:r>
        <w:rPr>
          <w:b/>
        </w:rPr>
        <w:t xml:space="preserve">• </w:t>
      </w:r>
      <w:r>
        <w:t>Absolute vs intensity metrics; mixed units; repeated table headers.</w:t>
      </w:r>
    </w:p>
    <w:p>
      <w:pPr>
        <w:ind w:left="0" w:hanging="202"/>
      </w:pPr>
      <w:r>
        <w:rPr>
          <w:b/>
        </w:rPr>
        <w:t xml:space="preserve">• </w:t>
      </w:r>
      <w:r>
        <w:t>Charts/images only as fallback review targets — không dùng VLM thay deterministic parsing mặc định.</w:t>
      </w:r>
    </w:p>
    <w:p>
      <w:pPr>
        <w:pStyle w:val="Heading1"/>
      </w:pPr>
      <w:r>
        <w:t>5. Evidence sufficiency reason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168"/>
            <w:shd w:fill="D9EAD3"/>
            <w:vAlign w:val="center"/>
          </w:tcPr>
          <w:p>
            <w:r>
              <w:rPr>
                <w:b/>
                <w:sz w:val="15"/>
              </w:rPr>
              <w:t>Reason code</w:t>
            </w:r>
          </w:p>
        </w:tc>
        <w:tc>
          <w:tcPr>
            <w:tcW w:type="dxa" w:w="6912"/>
            <w:shd w:fill="D9EAD3"/>
            <w:vAlign w:val="center"/>
          </w:tcPr>
          <w:p>
            <w:r>
              <w:rPr>
                <w:b/>
                <w:sz w:val="15"/>
              </w:rPr>
              <w:t>Khi nào dùng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MISSING_BASELINE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Claim comparative nhưng không có baseline/baseline year.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MISSING_SCOPE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Không xác định scope/entity/facility/system boundary.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PERIOD_MISMATCH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khác kỳ hoặc không đủ để suy ra target period.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UNIT_DENOMINATOR_MISMATCH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Không so sánh được do unit/denominator không tương thích.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SOURCE_TOO_WEAK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Nguồn secondary/uncorroborated không đủ cho kết luận.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RETRIEVAL_INCOMPLETE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Có dấu hiệu evidence tồn tại nhưng retrieval chưa bao phủ.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OCR_UNCERTAIN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Critical value/table region có confidence thấp.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LEGAL_APPLICABILITY_UNKNOWN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Chưa xác định được rule/jurisdiction/effective version phù hợp.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EVIDENCE_CONFLICT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Các nguồn có mâu thuẫn cần reviewer.</w:t>
            </w:r>
          </w:p>
        </w:tc>
      </w:tr>
    </w:tbl>
    <w:p/>
    <w:p>
      <w:pPr>
        <w:pStyle w:val="Heading1"/>
      </w:pPr>
      <w:r>
        <w:t>6. Release gate v1 — đề xuất</w:t>
      </w:r>
    </w:p>
    <w:p>
      <w:r>
        <w:t>Threshold cụ thể phải được khóa sau baseline tuần 1; bảng dưới là gate logic, không phải con số mặc định.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shd w:fill="D9EAD3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7776"/>
            <w:shd w:fill="D9EAD3"/>
            <w:vAlign w:val="center"/>
          </w:tcPr>
          <w:p>
            <w:r>
              <w:rPr>
                <w:b/>
                <w:sz w:val="16"/>
              </w:rPr>
              <w:t>Điều kiện pass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G1 Reproducibility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Cùng input/version/seed cho output hoặc metric trong tolerance đã định.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G2 No critical regression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Không tăng critical parser/numeric/legal false confident errors so với baseline.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G3 Retrieval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Gold evidence recall/answer-in-context không giảm; distractor robustness không xấu đi.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G4 Abstention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Selective risk cải thiện hoặc giữ ổn định tại coverage mục tiêu.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G5 Traceability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100% verdict demo có source IDs; numeric/legal findings có trace.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G6 Reviewer safety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High-risk/insufficient cases vào queue; UI không biến risk score thành kết luận tuyệt đối.</w:t>
            </w:r>
          </w:p>
        </w:tc>
      </w:tr>
    </w:tbl>
    <w:p/>
    <w:p>
      <w:pPr>
        <w:pStyle w:val="Heading1"/>
      </w:pPr>
      <w:r>
        <w:t>7. Logging bắt buộc cho mỗi experiment</w:t>
      </w:r>
    </w:p>
    <w:p>
      <w:pPr>
        <w:ind w:left="0" w:hanging="202"/>
      </w:pPr>
      <w:r>
        <w:rPr>
          <w:b/>
        </w:rPr>
        <w:t xml:space="preserve">• </w:t>
      </w:r>
      <w:r>
        <w:t>experiment_id</w:t>
      </w:r>
    </w:p>
    <w:p>
      <w:pPr>
        <w:ind w:left="0" w:hanging="202"/>
      </w:pPr>
      <w:r>
        <w:rPr>
          <w:b/>
        </w:rPr>
        <w:t xml:space="preserve">• </w:t>
      </w:r>
      <w:r>
        <w:t>git_commit</w:t>
      </w:r>
    </w:p>
    <w:p>
      <w:pPr>
        <w:ind w:left="0" w:hanging="202"/>
      </w:pPr>
      <w:r>
        <w:rPr>
          <w:b/>
        </w:rPr>
        <w:t xml:space="preserve">• </w:t>
      </w:r>
      <w:r>
        <w:t>dataset_snapshot</w:t>
      </w:r>
    </w:p>
    <w:p>
      <w:pPr>
        <w:ind w:left="0" w:hanging="202"/>
      </w:pPr>
      <w:r>
        <w:rPr>
          <w:b/>
        </w:rPr>
        <w:t xml:space="preserve">• </w:t>
      </w:r>
      <w:r>
        <w:t>parser/model/embedding/reranker/index/rule versions</w:t>
      </w:r>
    </w:p>
    <w:p>
      <w:pPr>
        <w:ind w:left="0" w:hanging="202"/>
      </w:pPr>
      <w:r>
        <w:rPr>
          <w:b/>
        </w:rPr>
        <w:t xml:space="preserve">• </w:t>
      </w:r>
      <w:r>
        <w:t>prompt/config hash</w:t>
      </w:r>
    </w:p>
    <w:p>
      <w:pPr>
        <w:ind w:left="0" w:hanging="202"/>
      </w:pPr>
      <w:r>
        <w:rPr>
          <w:b/>
        </w:rPr>
        <w:t xml:space="preserve">• </w:t>
      </w:r>
      <w:r>
        <w:t>seed</w:t>
      </w:r>
    </w:p>
    <w:p>
      <w:pPr>
        <w:ind w:left="0" w:hanging="202"/>
      </w:pPr>
      <w:r>
        <w:rPr>
          <w:b/>
        </w:rPr>
        <w:t xml:space="preserve">• </w:t>
      </w:r>
      <w:r>
        <w:t>latency + memory/GPU profile</w:t>
      </w:r>
    </w:p>
    <w:p>
      <w:pPr>
        <w:ind w:left="0" w:hanging="202"/>
      </w:pPr>
      <w:r>
        <w:rPr>
          <w:b/>
        </w:rPr>
        <w:t xml:space="preserve">• </w:t>
      </w:r>
      <w:r>
        <w:t>metrics + confidence intervals nếu có</w:t>
      </w:r>
    </w:p>
    <w:p>
      <w:pPr>
        <w:ind w:left="0" w:hanging="202"/>
      </w:pPr>
      <w:r>
        <w:rPr>
          <w:b/>
        </w:rPr>
        <w:t xml:space="preserve">• </w:t>
      </w:r>
      <w:r>
        <w:t>failed case IDs + root-cause tags</w:t>
      </w:r>
    </w:p>
    <w:p>
      <w:pPr>
        <w:ind w:left="0" w:hanging="202"/>
      </w:pPr>
      <w:r>
        <w:rPr>
          <w:b/>
        </w:rPr>
        <w:t xml:space="preserve">• </w:t>
      </w:r>
      <w:r>
        <w:t>decision: adopt / reject / retry</w:t>
      </w:r>
    </w:p>
    <w:p>
      <w:pPr>
        <w:pStyle w:val="Heading2"/>
      </w:pPr>
      <w:r>
        <w:t>Nguồn nền</w:t>
      </w:r>
    </w:p>
    <w:p>
      <w:pPr>
        <w:pStyle w:val="Small"/>
        <w:spacing w:after="40"/>
      </w:pPr>
      <w:r>
        <w:rPr>
          <w:b/>
        </w:rPr>
        <w:t xml:space="preserve">[P1] </w:t>
      </w:r>
      <w:r>
        <w:t>GreenScan_AI_Ho_so_du_thi_vong_1_final_scrubbed.docx (project source, 30/07/2026).</w:t>
      </w:r>
    </w:p>
    <w:p>
      <w:pPr>
        <w:pStyle w:val="Small"/>
        <w:spacing w:after="40"/>
      </w:pPr>
      <w:r>
        <w:rPr>
          <w:b/>
        </w:rPr>
        <w:t xml:space="preserve">[R1] </w:t>
      </w:r>
      <w:r>
        <w:t>Zhao, S. et al. (2024). Towards Understanding Retrieval Accuracy and Prompt Quality in RAG Systems. arXiv:2411.19463.</w:t>
      </w:r>
    </w:p>
    <w:p>
      <w:pPr>
        <w:pStyle w:val="Small"/>
        <w:spacing w:after="40"/>
      </w:pPr>
      <w:r>
        <w:rPr>
          <w:b/>
        </w:rPr>
        <w:t xml:space="preserve">[R5] </w:t>
      </w:r>
      <w:r>
        <w:t>Santacroce, M. et al. (2026). CLARIESG: An End-to-End System for ESG Analysis over Complex Tables in Corporate Reports. EACL 2026, DOI: 10.18653/v1/2026.eacl-demo.7.</w:t>
      </w:r>
    </w:p>
    <w:p>
      <w:pPr>
        <w:pStyle w:val="Small"/>
        <w:spacing w:after="40"/>
      </w:pPr>
      <w:r>
        <w:rPr>
          <w:b/>
        </w:rPr>
        <w:t xml:space="preserve">[R6] </w:t>
      </w:r>
      <w:r>
        <w:t>Nguyen, L. S. T. &amp; Quan, T. T. (2026). Which Works Best for Vietnamese? A Practical Study of Information Retrieval Methods across Domains. Findings of EACL 2026, DOI: 10.18653/v1/2026.findings-eacl.110.</w:t>
      </w:r>
    </w:p>
    <w:p>
      <w:pPr>
        <w:pStyle w:val="Small"/>
        <w:spacing w:after="40"/>
      </w:pPr>
      <w:r>
        <w:rPr>
          <w:b/>
        </w:rPr>
        <w:t xml:space="preserve">[R7] </w:t>
      </w:r>
      <w:r>
        <w:t>Rosenthal, S. et al. (2026). SemEval-2026 Task 8: MTRAGEval: Evaluating Multi-Turn RAG Conversations. DOI: 10.18653/v1/2026.semeval-1.447.</w:t>
      </w:r>
    </w:p>
    <w:p>
      <w:pPr>
        <w:pStyle w:val="Small"/>
        <w:spacing w:after="40"/>
      </w:pPr>
      <w:r>
        <w:rPr>
          <w:b/>
        </w:rPr>
        <w:t xml:space="preserve">[R8] </w:t>
      </w:r>
      <w:r>
        <w:t>Cymbler, R., Guez, D., &amp; Fabre, L. (2026). Temporal Misgrounding in Legal RAG: A Versioned-Corpus Benchmark for French Tax Law. arXiv:2608.09393.</w:t>
      </w:r>
    </w:p>
    <w:p>
      <w:pPr>
        <w:pStyle w:val="Small"/>
        <w:spacing w:after="40"/>
      </w:pPr>
      <w:r>
        <w:rPr>
          <w:b/>
        </w:rPr>
        <w:t xml:space="preserve">[R9] </w:t>
      </w:r>
      <w:r>
        <w:t>Xiao, J. et al. (2026). From Diagnosis to Correction: Benchmarking and Improving Real-World Table Parsing. arXiv:2608.09842.</w:t>
      </w:r>
    </w:p>
    <w:p>
      <w:pPr>
        <w:pStyle w:val="Small"/>
        <w:spacing w:after="40"/>
      </w:pPr>
      <w:r>
        <w:rPr>
          <w:b/>
        </w:rPr>
        <w:t xml:space="preserve">[R10] </w:t>
      </w:r>
      <w:r>
        <w:t>Bala, A. N. (2026). What Survives Into Context: A Diagnostic for Budget-Constrained Multi-Hop RAG and When Submodular Evidence Packing Improves It. arXiv:2607.00725.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04_EVALUATION_EXPERIMENT_RELEASE_GATE | GreenScan AI | 2026.08.13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