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— RESEARCH READING MAP</w:t>
      </w:r>
    </w:p>
    <w:p>
      <w:pPr>
        <w:jc w:val="center"/>
      </w:pPr>
      <w:r>
        <w:rPr>
          <w:b/>
          <w:sz w:val="21"/>
        </w:rPr>
        <w:t>Paper queue, câu hỏi trích xuất và hướng tìm kiếm trong 1 tháng</w:t>
      </w:r>
    </w:p>
    <w:p>
      <w:pPr>
        <w:jc w:val="center"/>
      </w:pPr>
      <w:r>
        <w:rPr>
          <w:i/>
          <w:sz w:val="17"/>
        </w:rPr>
        <w:t>GreenScan AI Research Source Pack | Version 2026.08.13 | Cập nhật 13/08/2026</w:t>
      </w:r>
    </w:p>
    <w:p/>
    <w:p>
      <w:pPr>
        <w:pStyle w:val="Heading1"/>
      </w:pPr>
      <w:r>
        <w:t>1. Cách đọc paper để phục vụ codebase</w:t>
      </w:r>
    </w:p>
    <w:p>
      <w:pPr>
        <w:ind w:left="0" w:hanging="202"/>
      </w:pPr>
      <w:r>
        <w:rPr>
          <w:b/>
        </w:rPr>
        <w:t xml:space="preserve">• </w:t>
      </w:r>
      <w:r>
        <w:t>Không chỉ tóm tắt paper. Mỗi paper phải tạo ít nhất một trong: hypothesis, baseline, metric, dataset idea, error taxonomy hoặc implementation decision.</w:t>
      </w:r>
    </w:p>
    <w:p>
      <w:pPr>
        <w:ind w:left="0" w:hanging="202"/>
      </w:pPr>
      <w:r>
        <w:rPr>
          <w:b/>
        </w:rPr>
        <w:t xml:space="preserve">• </w:t>
      </w:r>
      <w:r>
        <w:t>Ghi rõ: problem setup, dataset/domain/language, model/retriever, metrics, main ablations, failure cases, compute cost, limitations và mức độ chuyển sang GreenScan.</w:t>
      </w:r>
    </w:p>
    <w:p>
      <w:pPr>
        <w:ind w:left="0" w:hanging="202"/>
      </w:pPr>
      <w:r>
        <w:rPr>
          <w:b/>
        </w:rPr>
        <w:t xml:space="preserve">• </w:t>
      </w:r>
      <w:r>
        <w:t>Đánh nhãn độ tin cậy: A = proceedings/primary official; B = recent preprint cần kiểm chứng; C = blog/repo chỉ dùng implementation hint.</w:t>
      </w:r>
    </w:p>
    <w:p>
      <w:pPr>
        <w:pStyle w:val="Heading1"/>
      </w:pPr>
      <w:r>
        <w:t>2. Reading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936"/>
            <w:shd w:fill="D9EAD3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3816"/>
            <w:shd w:fill="D9EAD3"/>
            <w:vAlign w:val="center"/>
          </w:tcPr>
          <w:p>
            <w:r>
              <w:rPr>
                <w:b/>
                <w:sz w:val="15"/>
              </w:rPr>
              <w:t>Paper/source</w:t>
            </w:r>
          </w:p>
        </w:tc>
        <w:tc>
          <w:tcPr>
            <w:tcW w:type="dxa" w:w="5328"/>
            <w:shd w:fill="D9EAD3"/>
            <w:vAlign w:val="center"/>
          </w:tcPr>
          <w:p>
            <w:r>
              <w:rPr>
                <w:b/>
                <w:sz w:val="15"/>
              </w:rPr>
              <w:t>Rút ra cho GreenScan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A/P0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R1 — Retrieval Accuracy &amp; Prompt Quality in RAG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Distracting evidence, retrieval recall threshold, document selection, prompt ablation.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A/P0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R5 — CLARIESG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Complex ESG tables, unit normalization, multi-table reasoning, programmatic computation.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A/P0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R6 — Vietnamese IR benchmark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Benchmark lexical/dense/hybrid riêng cho tiếng Việt; model scale không bảo đảm retrieval tốt.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A/P0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R7 — MTRAGEval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Tách retrieval/generation/end-to-end; answerability/unanswerable; query rewriting/ensembles.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A/P0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R4 — PromiseEval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Promise identification, evidence, consistency, verification time.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A/P1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R3 — Greenwashing survey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Intermediate-task framing, datasets, open gaps; tránh binary-only framing.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A/P1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R2 — TREX/GraphRAG benchmark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Local/OLTP vs global/OLAP retrieval; cost-performance; chỉ dùng graph khi query cần.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B/P1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R8 — Temporal Legal RAG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Version-aware legal index, effective date, deterministic scoring.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B/P1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R9 — TableParseMap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Hard real-world tables, structural failure taxonomy, visual consistency correction.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B/P2</w:t>
            </w:r>
          </w:p>
        </w:tc>
        <w:tc>
          <w:tcPr>
            <w:tcW w:type="dxa" w:w="38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R10 — Budget-constrained evidence packing</w:t>
            </w:r>
          </w:p>
        </w:tc>
        <w:tc>
          <w:tcPr>
            <w:tcW w:type="dxa" w:w="53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Answer/evidence-in-context; submodular packing khi token budget chặt.</w:t>
            </w:r>
          </w:p>
        </w:tc>
      </w:tr>
    </w:tbl>
    <w:p/>
    <w:p>
      <w:pPr>
        <w:pStyle w:val="Heading1"/>
      </w:pPr>
      <w:r>
        <w:t>3. Research extraction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shd w:fill="D9EAD3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8064"/>
            <w:shd w:fill="D9EAD3"/>
            <w:vAlign w:val="center"/>
          </w:tcPr>
          <w:p>
            <w:r>
              <w:rPr>
                <w:b/>
                <w:sz w:val="16"/>
              </w:rPr>
              <w:t>Nội dung cần ghi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Research question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Paper đang giải bottleneck nào? Có trùng task T0–T11 nào?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Dataset fit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Ngôn ngữ/domain/doc type có gần ESG/BCTC/luật VN không?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 nào có thể implement local? Dependency/API/GPU?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Metric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Có metric nào nên thêm vào release gate?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Ablation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Biến nào tác động mạnh? Có replication nhỏ nào trong 1–2 ngày?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 modes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 nào giống GreenScan? Cần hard-set case nào?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Action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Adopt / Experiment / Watch / Reject + lý do.</w:t>
            </w:r>
          </w:p>
        </w:tc>
      </w:tr>
    </w:tbl>
    <w:p/>
    <w:p>
      <w:pPr>
        <w:pStyle w:val="Heading1"/>
      </w:pPr>
      <w:r>
        <w:t>4. Search queries theo workstream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160"/>
            <w:shd w:fill="D9EAD3"/>
            <w:vAlign w:val="center"/>
          </w:tcPr>
          <w:p>
            <w:r>
              <w:rPr>
                <w:b/>
                <w:sz w:val="15"/>
              </w:rPr>
              <w:t>Workstream</w:t>
            </w:r>
          </w:p>
        </w:tc>
        <w:tc>
          <w:tcPr>
            <w:tcW w:type="dxa" w:w="7920"/>
            <w:shd w:fill="D9EAD3"/>
            <w:vAlign w:val="center"/>
          </w:tcPr>
          <w:p>
            <w:r>
              <w:rPr>
                <w:b/>
                <w:sz w:val="15"/>
              </w:rPr>
              <w:t>Queries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T2 Document AI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"real world table parsing" document VLM; "financial document table reasoning" LLM; "table cell grounding" OCR provenance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T3–T4 Claims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"environmental claim extraction" ESG; "corporate promise verification" ESG; "claim normalization" sustainability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T5 Retrieval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"Vietnamese information retrieval" hybrid; "retrieval noise" RAG distractor; "evidence reranking" RAG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T6 Abstain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"evidence sufficiency" RAG; "selective prediction" RAG; "unanswerable" RAG calibration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T7 Numeric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"programmatic table reasoning" ESG; "unit normalization" financial tables; "numerical claim verification"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T8 Legal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"temporal legal RAG" versioned corpus; "effective date" legal retrieval; "policy as code" LLM compliance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T9–T10 Reliability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"claim evidence verification" LLM; "citation faithfulness" RAG; "calibration" grounded generation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P2 Optimization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"submodular evidence selection" RAG; "QUBO evidence selection" retrieval augmented generation; "context packing" multi-hop RAG</w:t>
            </w:r>
          </w:p>
        </w:tc>
      </w:tr>
    </w:tbl>
    <w:p/>
    <w:p>
      <w:pPr>
        <w:pStyle w:val="Heading1"/>
      </w:pPr>
      <w:r>
        <w:t>5. Watch list — chỉ làm khi có bottleneck rõ</w:t>
      </w:r>
    </w:p>
    <w:p>
      <w:pPr>
        <w:ind w:left="0" w:hanging="202"/>
      </w:pPr>
      <w:r>
        <w:rPr>
          <w:b/>
        </w:rPr>
        <w:t xml:space="preserve">• </w:t>
      </w:r>
      <w:r>
        <w:t>GraphRAG/community summaries</w:t>
      </w:r>
    </w:p>
    <w:p>
      <w:pPr>
        <w:ind w:left="0" w:hanging="202"/>
      </w:pPr>
      <w:r>
        <w:rPr>
          <w:b/>
        </w:rPr>
        <w:t xml:space="preserve">• </w:t>
      </w:r>
      <w:r>
        <w:t>Agentic retrieval/planning</w:t>
      </w:r>
    </w:p>
    <w:p>
      <w:pPr>
        <w:ind w:left="0" w:hanging="202"/>
      </w:pPr>
      <w:r>
        <w:rPr>
          <w:b/>
        </w:rPr>
        <w:t xml:space="preserve">• </w:t>
      </w:r>
      <w:r>
        <w:t>LoRA/QLoRA judge models</w:t>
      </w:r>
    </w:p>
    <w:p>
      <w:pPr>
        <w:ind w:left="0" w:hanging="202"/>
      </w:pPr>
      <w:r>
        <w:rPr>
          <w:b/>
        </w:rPr>
        <w:t xml:space="preserve">• </w:t>
      </w:r>
      <w:r>
        <w:t>Multimodal ad/video greenwashing</w:t>
      </w:r>
    </w:p>
    <w:p>
      <w:pPr>
        <w:ind w:left="0" w:hanging="202"/>
      </w:pPr>
      <w:r>
        <w:rPr>
          <w:b/>
        </w:rPr>
        <w:t xml:space="preserve">• </w:t>
      </w:r>
      <w:r>
        <w:t>Quantum/QUBO evidence selection</w:t>
      </w:r>
    </w:p>
    <w:p>
      <w:pPr>
        <w:ind w:left="0" w:hanging="202"/>
      </w:pPr>
      <w:r>
        <w:rPr>
          <w:b/>
        </w:rPr>
        <w:t xml:space="preserve">• </w:t>
      </w:r>
      <w:r>
        <w:t>Cross-company portfolio/industry analytics</w:t>
      </w:r>
    </w:p>
    <w:p>
      <w:pPr>
        <w:pStyle w:val="Heading2"/>
      </w:pPr>
      <w:r>
        <w:t>Nguồn nền</w:t>
      </w:r>
    </w:p>
    <w:p>
      <w:pPr>
        <w:pStyle w:val="Small"/>
        <w:spacing w:after="40"/>
      </w:pPr>
      <w:r>
        <w:rPr>
          <w:b/>
        </w:rPr>
        <w:t xml:space="preserve">[P1] </w:t>
      </w:r>
      <w:r>
        <w:t>GreenScan_AI_Ho_so_du_thi_vong_1_final_scrubbed.docx (project source, 30/07/2026).</w:t>
      </w:r>
    </w:p>
    <w:p>
      <w:pPr>
        <w:pStyle w:val="Small"/>
        <w:spacing w:after="40"/>
      </w:pPr>
      <w:r>
        <w:rPr>
          <w:b/>
        </w:rPr>
        <w:t xml:space="preserve">[P2] </w:t>
      </w:r>
      <w:r>
        <w:t>AI-QUANTUM.docx (project source, 30/07/2026).</w:t>
      </w:r>
    </w:p>
    <w:p>
      <w:pPr>
        <w:pStyle w:val="Small"/>
        <w:spacing w:after="40"/>
      </w:pPr>
      <w:r>
        <w:rPr>
          <w:b/>
        </w:rPr>
        <w:t xml:space="preserve">[P3] </w:t>
      </w:r>
      <w:r>
        <w:t>Bản hồ sơ nộp bài vòng thi 1.docx (project source, 27/07/2026).</w:t>
      </w:r>
    </w:p>
    <w:p>
      <w:pPr>
        <w:pStyle w:val="Small"/>
        <w:spacing w:after="40"/>
      </w:pPr>
      <w:r>
        <w:rPr>
          <w:b/>
        </w:rPr>
        <w:t xml:space="preserve">[P4] </w:t>
      </w:r>
      <w:r>
        <w:t>deep-research-report.md — Local-Only Greenwashing Detection and Prevention for Vietnam (project research source).</w:t>
      </w:r>
    </w:p>
    <w:p>
      <w:pPr>
        <w:pStyle w:val="Small"/>
        <w:spacing w:after="40"/>
      </w:pPr>
      <w:r>
        <w:rPr>
          <w:b/>
        </w:rPr>
        <w:t xml:space="preserve">[R1] </w:t>
      </w:r>
      <w:r>
        <w:t>Zhao, S. et al. (2024). Towards Understanding Retrieval Accuracy and Prompt Quality in RAG Systems. arXiv:2411.19463.</w:t>
      </w:r>
    </w:p>
    <w:p>
      <w:pPr>
        <w:pStyle w:val="Small"/>
        <w:spacing w:after="40"/>
      </w:pPr>
      <w:r>
        <w:rPr>
          <w:b/>
        </w:rPr>
        <w:t xml:space="preserve">[R2] </w:t>
      </w:r>
      <w:r>
        <w:t>Cahoon, J. et al. (2025). Optimizing open-domain question answering with graph-based retrieval augmented generation. arXiv:2503.02922.</w:t>
      </w:r>
    </w:p>
    <w:p>
      <w:pPr>
        <w:pStyle w:val="Small"/>
        <w:spacing w:after="40"/>
      </w:pPr>
      <w:r>
        <w:rPr>
          <w:b/>
        </w:rPr>
        <w:t xml:space="preserve">[R3] </w:t>
      </w:r>
      <w:r>
        <w:t>Calamai, T. et al. (2025). Corporate Greenwashing Detection in Text — a Survey. arXiv:2502.07541.</w:t>
      </w:r>
    </w:p>
    <w:p>
      <w:pPr>
        <w:pStyle w:val="Small"/>
        <w:spacing w:after="40"/>
      </w:pPr>
      <w:r>
        <w:rPr>
          <w:b/>
        </w:rPr>
        <w:t xml:space="preserve">[R4] </w:t>
      </w:r>
      <w:r>
        <w:t>Chen, C.-C. et al. (2025). SemEval-2025 Task 6: Multinational, Multilingual, Multi-Industry Promise Verification. ACL Anthology 2025.semeval-1.321.</w:t>
      </w:r>
    </w:p>
    <w:p>
      <w:pPr>
        <w:pStyle w:val="Small"/>
        <w:spacing w:after="40"/>
      </w:pPr>
      <w:r>
        <w:rPr>
          <w:b/>
        </w:rPr>
        <w:t xml:space="preserve">[R5] </w:t>
      </w:r>
      <w:r>
        <w:t>Santacroce, M. et al. (2026). CLARIESG: An End-to-End System for ESG Analysis over Complex Tables in Corporate Reports. EACL 2026, DOI: 10.18653/v1/2026.eacl-demo.7.</w:t>
      </w:r>
    </w:p>
    <w:p>
      <w:pPr>
        <w:pStyle w:val="Small"/>
        <w:spacing w:after="40"/>
      </w:pPr>
      <w:r>
        <w:rPr>
          <w:b/>
        </w:rPr>
        <w:t xml:space="preserve">[R6] </w:t>
      </w:r>
      <w:r>
        <w:t>Nguyen, L. S. T. &amp; Quan, T. T. (2026). Which Works Best for Vietnamese? A Practical Study of Information Retrieval Methods across Domains. Findings of EACL 2026, DOI: 10.18653/v1/2026.findings-eacl.110.</w:t>
      </w:r>
    </w:p>
    <w:p>
      <w:pPr>
        <w:pStyle w:val="Small"/>
        <w:spacing w:after="40"/>
      </w:pPr>
      <w:r>
        <w:rPr>
          <w:b/>
        </w:rPr>
        <w:t xml:space="preserve">[R7] </w:t>
      </w:r>
      <w:r>
        <w:t>Rosenthal, S. et al. (2026). SemEval-2026 Task 8: MTRAGEval: Evaluating Multi-Turn RAG Conversations. DOI: 10.18653/v1/2026.semeval-1.447.</w:t>
      </w:r>
    </w:p>
    <w:p>
      <w:pPr>
        <w:pStyle w:val="Small"/>
        <w:spacing w:after="40"/>
      </w:pPr>
      <w:r>
        <w:rPr>
          <w:b/>
        </w:rPr>
        <w:t xml:space="preserve">[R8] </w:t>
      </w:r>
      <w:r>
        <w:t>Cymbler, R., Guez, D., &amp; Fabre, L. (2026). Temporal Misgrounding in Legal RAG: A Versioned-Corpus Benchmark for French Tax Law. arXiv:2608.09393.</w:t>
      </w:r>
    </w:p>
    <w:p>
      <w:pPr>
        <w:pStyle w:val="Small"/>
        <w:spacing w:after="40"/>
      </w:pPr>
      <w:r>
        <w:rPr>
          <w:b/>
        </w:rPr>
        <w:t xml:space="preserve">[R9] </w:t>
      </w:r>
      <w:r>
        <w:t>Xiao, J. et al. (2026). From Diagnosis to Correction: Benchmarking and Improving Real-World Table Parsing. arXiv:2608.09842.</w:t>
      </w:r>
    </w:p>
    <w:p>
      <w:pPr>
        <w:pStyle w:val="Small"/>
        <w:spacing w:after="40"/>
      </w:pPr>
      <w:r>
        <w:rPr>
          <w:b/>
        </w:rPr>
        <w:t xml:space="preserve">[R10] </w:t>
      </w:r>
      <w:r>
        <w:t>Bala, A. N. (2026). What Survives Into Context: A Diagnostic for Budget-Constrained Multi-Hop RAG and When Submodular Evidence Packing Improves It. arXiv:2607.00725.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05_RESEARCH_READING_MAP | GreenScan AI | 2026.08.13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