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— TECHNICAL BACKLOG &amp; DEFINITION OF DONE</w:t>
      </w:r>
    </w:p>
    <w:p>
      <w:pPr>
        <w:jc w:val="center"/>
      </w:pPr>
      <w:r>
        <w:rPr>
          <w:b/>
          <w:sz w:val="21"/>
        </w:rPr>
        <w:t>Backlog ưu tiên để chuyển research thành ticket triển khai</w:t>
      </w:r>
    </w:p>
    <w:p>
      <w:pPr>
        <w:jc w:val="center"/>
      </w:pPr>
      <w:r>
        <w:rPr>
          <w:i/>
          <w:sz w:val="17"/>
        </w:rPr>
        <w:t>GreenScan AI Research Source Pack | Version 2026.08.13 | Cập nhật 13/08/2026</w:t>
      </w:r>
    </w:p>
    <w:p/>
    <w:p>
      <w:pPr>
        <w:pStyle w:val="Heading1"/>
      </w:pPr>
      <w:r>
        <w:t>1. P0 — Phải hoàn thành hoặc có baseline trong 30 ngày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296"/>
            <w:shd w:fill="D9EAD3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shd w:fill="D9EAD3"/>
            <w:vAlign w:val="center"/>
          </w:tcPr>
          <w:p>
            <w:r>
              <w:rPr>
                <w:b/>
                <w:sz w:val="16"/>
              </w:rPr>
              <w:t>Ticket</w:t>
            </w:r>
          </w:p>
        </w:tc>
        <w:tc>
          <w:tcPr>
            <w:tcW w:type="dxa" w:w="5472"/>
            <w:shd w:fill="D9EAD3"/>
            <w:vAlign w:val="center"/>
          </w:tcPr>
          <w:p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EVAL-001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Khóa eval_set_v1 manifest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Mỗi case có doc/claim/evidence labels; split/dev/test/hard/regression; versioned.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DOC-001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Hard PDF/table benchmark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≥50–100 trang/bảng khó; critical-value labels; provenance gold.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RET-001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Vietnamese retrieval benchmark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BM25/dense/hybrid/reranker; Recall@k/nDCG; distractor tests; latency.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SUF-001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Evidence sufficiency task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Reason taxonomy; labels; baseline; tách khỏi verdict.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NUM-001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Numeric engine v1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Unit/baseline/period/scope normalization; deterministic formulas; trace.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OBS-001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Stage-level tracing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Model/index/rule/data versions + case IDs + latency + errors.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REG-001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Regression gate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Automated subset chạy sau thay đổi; critical regressions block release.</w:t>
            </w:r>
          </w:p>
        </w:tc>
      </w:tr>
    </w:tbl>
    <w:p/>
    <w:p>
      <w:pPr>
        <w:pStyle w:val="Heading1"/>
      </w:pPr>
      <w:r>
        <w:t>2. P1 — Cần cho vertical slice đáng tin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296"/>
            <w:shd w:fill="D9EAD3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shd w:fill="D9EAD3"/>
            <w:vAlign w:val="center"/>
          </w:tcPr>
          <w:p>
            <w:r>
              <w:rPr>
                <w:b/>
                <w:sz w:val="16"/>
              </w:rPr>
              <w:t>Ticket</w:t>
            </w:r>
          </w:p>
        </w:tc>
        <w:tc>
          <w:tcPr>
            <w:tcW w:type="dxa" w:w="5472"/>
            <w:shd w:fill="D9EAD3"/>
            <w:vAlign w:val="center"/>
          </w:tcPr>
          <w:p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LEG-001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Temporal legal metadata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effective_from/to, status, applicability, as_of_date query.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LEG-002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Rule pack v1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Baseline/scope/use-of-proceeds/taxonomy rules có source clause IDs.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Verdict engine v1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5-way output dùng sufficiency+numeric+legal; ablation vs LLM-only.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CAL-001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Abstain calibration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Risk–coverage/selective-risk; threshold theo use-case.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UI-001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Claim Evidence Panel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Claim, 5 attributes, evidence, page/table/cell, missing info, numeric/legal findings.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REV-001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Reviewer queue + feedback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Override reason + correction data; audit history.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SEC-001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Local/no-egress test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Confidential mode không gọi external APIs; storage/access boundaries documented.</w:t>
            </w:r>
          </w:p>
        </w:tc>
      </w:tr>
    </w:tbl>
    <w:p/>
    <w:p>
      <w:pPr>
        <w:pStyle w:val="Heading1"/>
      </w:pPr>
      <w:r>
        <w:t>3. P2 — Future research / không chặn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296"/>
            <w:shd w:fill="D9EAD3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312"/>
            <w:shd w:fill="D9EAD3"/>
            <w:vAlign w:val="center"/>
          </w:tcPr>
          <w:p>
            <w:r>
              <w:rPr>
                <w:b/>
                <w:sz w:val="16"/>
              </w:rPr>
              <w:t>Ticket</w:t>
            </w:r>
          </w:p>
        </w:tc>
        <w:tc>
          <w:tcPr>
            <w:tcW w:type="dxa" w:w="5472"/>
            <w:shd w:fill="D9EAD3"/>
            <w:vAlign w:val="center"/>
          </w:tcPr>
          <w:p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RET-ADV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Hierarchical/Graph retrieval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Chỉ route query multi-doc/global; benchmark cost/quality vs hybrid baseline.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PACK-001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Evidence context packing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Compare top-k/MMR/submodular under token budgets.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QUBO-001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Quantum-inspired selection PoC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Formalize relevance/coverage/redundancy/token objective; compare classical baseline.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FT-001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LoRA/QLoRA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Chỉ sau khi đủ gold labels và xác định lỗi subtask ổn định.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AUTH-001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Preventive authoring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Draft warnings yêu cầu baseline/scope/methodology/evidence; không giúp che giấu impact.</w:t>
            </w:r>
          </w:p>
        </w:tc>
      </w:tr>
      <w:tr>
        <w:tc>
          <w:tcPr>
            <w:tcW w:type="dxa" w:w="1296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ANL-001</w:t>
            </w:r>
          </w:p>
        </w:tc>
        <w:tc>
          <w:tcPr>
            <w:tcW w:type="dxa" w:w="33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Cross-year/company analytics</w:t>
            </w:r>
          </w:p>
        </w:tc>
        <w:tc>
          <w:tcPr>
            <w:tcW w:type="dxa" w:w="547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Chỉ sau khi claim-level verification ổn định.</w:t>
            </w:r>
          </w:p>
        </w:tc>
      </w:tr>
    </w:tbl>
    <w:p/>
    <w:p>
      <w:pPr>
        <w:pStyle w:val="Heading1"/>
      </w:pPr>
      <w:r>
        <w:t>4. Anti-goals kỹ thuật</w:t>
      </w:r>
    </w:p>
    <w:p>
      <w:pPr>
        <w:ind w:left="0" w:hanging="202"/>
      </w:pPr>
      <w:r>
        <w:rPr>
          <w:b/>
        </w:rPr>
        <w:t xml:space="preserve">• </w:t>
      </w:r>
      <w:r>
        <w:t>Không tối ưu một “greenwashing score” duy nhất trước khi claim/evidence correctness ổn định.</w:t>
      </w:r>
    </w:p>
    <w:p>
      <w:pPr>
        <w:ind w:left="0" w:hanging="202"/>
      </w:pPr>
      <w:r>
        <w:rPr>
          <w:b/>
        </w:rPr>
        <w:t xml:space="preserve">• </w:t>
      </w:r>
      <w:r>
        <w:t>Không để LLM thực hiện phép tính hoặc luật có thể deterministic mà không có trace/validation.</w:t>
      </w:r>
    </w:p>
    <w:p>
      <w:pPr>
        <w:ind w:left="0" w:hanging="202"/>
      </w:pPr>
      <w:r>
        <w:rPr>
          <w:b/>
        </w:rPr>
        <w:t xml:space="preserve">• </w:t>
      </w:r>
      <w:r>
        <w:t>Không dùng GraphRAG cho mọi query; route theo nhu cầu local fact vs cross-document synthesis.</w:t>
      </w:r>
    </w:p>
    <w:p>
      <w:pPr>
        <w:ind w:left="0" w:hanging="202"/>
      </w:pPr>
      <w:r>
        <w:rPr>
          <w:b/>
        </w:rPr>
        <w:t xml:space="preserve">• </w:t>
      </w:r>
      <w:r>
        <w:t>Không fine-tune chỉ để tăng cảm giác “AI” khi lỗi thực tế nằm ở parsing/retrieval/data.</w:t>
      </w:r>
    </w:p>
    <w:p>
      <w:pPr>
        <w:ind w:left="0" w:hanging="202"/>
      </w:pPr>
      <w:r>
        <w:rPr>
          <w:b/>
        </w:rPr>
        <w:t xml:space="preserve">• </w:t>
      </w:r>
      <w:r>
        <w:t>Không coi confidence từ model là bằng chứng của correctness.</w:t>
      </w:r>
    </w:p>
    <w:p>
      <w:pPr>
        <w:ind w:left="0" w:hanging="202"/>
      </w:pPr>
      <w:r>
        <w:rPr>
          <w:b/>
        </w:rPr>
        <w:t xml:space="preserve">• </w:t>
      </w:r>
      <w:r>
        <w:t>Không đưa social media/noisy secondary sources vào evidence tier chính của MVP nếu chưa có source quality policy.</w:t>
      </w:r>
    </w:p>
    <w:p>
      <w:pPr>
        <w:pStyle w:val="Heading1"/>
      </w:pPr>
      <w:r>
        <w:t>5. Template ticket chuẩn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1728"/>
            <w:shd w:fill="D9EAD3"/>
            <w:vAlign w:val="center"/>
          </w:tcPr>
          <w:p>
            <w:r>
              <w:rPr>
                <w:b/>
                <w:sz w:val="16"/>
              </w:rPr>
              <w:t>Mục</w:t>
            </w:r>
          </w:p>
        </w:tc>
        <w:tc>
          <w:tcPr>
            <w:tcW w:type="dxa" w:w="8352"/>
            <w:shd w:fill="D9EAD3"/>
            <w:vAlign w:val="center"/>
          </w:tcPr>
          <w:p>
            <w:r>
              <w:rPr>
                <w:b/>
                <w:sz w:val="16"/>
              </w:rPr>
              <w:t>Nội dung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Problem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Failure cụ thể nào đang xảy ra? Có case IDs?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Hypothesis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Thay đổi nào dự kiến cải thiện metric nào?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Inputs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Dataset/config/model/index version.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Experiment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Baseline + treatment + ablation + seed.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Acceptance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Threshold/gate rõ; critical regression policy.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Artifacts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Metrics JSON, failed cases, traces, plots/report nếu cần.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Decision</w:t>
            </w:r>
          </w:p>
        </w:tc>
        <w:tc>
          <w:tcPr>
            <w:tcW w:type="dxa" w:w="835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Adopt / reject / defer và lý do.</w:t>
            </w:r>
          </w:p>
        </w:tc>
      </w:tr>
    </w:tbl>
    <w:p/>
    <w:p>
      <w:pPr>
        <w:pStyle w:val="Heading1"/>
      </w:pPr>
      <w:r>
        <w:t>6. Definition of Done toàn hệ thống cho demo đáng tin</w:t>
      </w:r>
    </w:p>
    <w:p>
      <w:pPr>
        <w:ind w:left="0" w:hanging="202"/>
      </w:pPr>
      <w:r>
        <w:rPr>
          <w:b/>
        </w:rPr>
        <w:t xml:space="preserve">• </w:t>
      </w:r>
      <w:r>
        <w:t>Một tài liệu thật đi end-to-end từ PDF → claim → evidence → numeric/legal findings → verdict/abstain → UI citation.</w:t>
      </w:r>
    </w:p>
    <w:p>
      <w:pPr>
        <w:ind w:left="0" w:hanging="202"/>
      </w:pPr>
      <w:r>
        <w:rPr>
          <w:b/>
        </w:rPr>
        <w:t xml:space="preserve">• </w:t>
      </w:r>
      <w:r>
        <w:t>Mỗi verdict có thể click/trace về source page/table/cell hoặc clause.</w:t>
      </w:r>
    </w:p>
    <w:p>
      <w:pPr>
        <w:ind w:left="0" w:hanging="202"/>
      </w:pPr>
      <w:r>
        <w:rPr>
          <w:b/>
        </w:rPr>
        <w:t xml:space="preserve">• </w:t>
      </w:r>
      <w:r>
        <w:t>Khi evidence thiếu, output ghi rõ thiếu gì thay vì hallucinate.</w:t>
      </w:r>
    </w:p>
    <w:p>
      <w:pPr>
        <w:ind w:left="0" w:hanging="202"/>
      </w:pPr>
      <w:r>
        <w:rPr>
          <w:b/>
        </w:rPr>
        <w:t xml:space="preserve">• </w:t>
      </w:r>
      <w:r>
        <w:t>Regression report cho biết bản mới tốt/xấu ở stage nào.</w:t>
      </w:r>
    </w:p>
    <w:p>
      <w:pPr>
        <w:ind w:left="0" w:hanging="202"/>
      </w:pPr>
      <w:r>
        <w:rPr>
          <w:b/>
        </w:rPr>
        <w:t xml:space="preserve">• </w:t>
      </w:r>
      <w:r>
        <w:t>Reviewer có thể override, ghi lý do và tạo dữ liệu học cho vòng sau.</w:t>
      </w:r>
    </w:p>
    <w:p>
      <w:pPr>
        <w:ind w:left="0" w:hanging="202"/>
      </w:pPr>
      <w:r>
        <w:rPr>
          <w:b/>
        </w:rPr>
        <w:t xml:space="preserve">• </w:t>
      </w:r>
      <w:r>
        <w:t>Demo không phụ thuộc bắt buộc vào Quantum/GraphRAG/fine-tuning để hoạt động.</w:t>
      </w:r>
    </w:p>
    <w:p>
      <w:pPr>
        <w:pStyle w:val="Heading2"/>
      </w:pPr>
      <w:r>
        <w:t>Nguồn nền</w:t>
      </w:r>
    </w:p>
    <w:p>
      <w:pPr>
        <w:pStyle w:val="Small"/>
        <w:spacing w:after="40"/>
      </w:pPr>
      <w:r>
        <w:rPr>
          <w:b/>
        </w:rPr>
        <w:t xml:space="preserve">[P1] </w:t>
      </w:r>
      <w:r>
        <w:t>GreenScan_AI_Ho_so_du_thi_vong_1_final_scrubbed.docx (project source, 30/07/2026).</w:t>
      </w:r>
    </w:p>
    <w:p>
      <w:pPr>
        <w:pStyle w:val="Small"/>
        <w:spacing w:after="40"/>
      </w:pPr>
      <w:r>
        <w:rPr>
          <w:b/>
        </w:rPr>
        <w:t xml:space="preserve">[P2] </w:t>
      </w:r>
      <w:r>
        <w:t>AI-QUANTUM.docx (project source, 30/07/2026).</w:t>
      </w:r>
    </w:p>
    <w:p>
      <w:pPr>
        <w:pStyle w:val="Small"/>
        <w:spacing w:after="40"/>
      </w:pPr>
      <w:r>
        <w:rPr>
          <w:b/>
        </w:rPr>
        <w:t xml:space="preserve">[P4] </w:t>
      </w:r>
      <w:r>
        <w:t>deep-research-report.md — Local-Only Greenwashing Detection and Prevention for Vietnam (project research source).</w:t>
      </w:r>
    </w:p>
    <w:p>
      <w:pPr>
        <w:pStyle w:val="Small"/>
        <w:spacing w:after="40"/>
      </w:pPr>
      <w:r>
        <w:rPr>
          <w:b/>
        </w:rPr>
        <w:t xml:space="preserve">[R1] </w:t>
      </w:r>
      <w:r>
        <w:t>Zhao, S. et al. (2024). Towards Understanding Retrieval Accuracy and Prompt Quality in RAG Systems. arXiv:2411.19463.</w:t>
      </w:r>
    </w:p>
    <w:p>
      <w:pPr>
        <w:pStyle w:val="Small"/>
        <w:spacing w:after="40"/>
      </w:pPr>
      <w:r>
        <w:rPr>
          <w:b/>
        </w:rPr>
        <w:t xml:space="preserve">[R2] </w:t>
      </w:r>
      <w:r>
        <w:t>Cahoon, J. et al. (2025). Optimizing open-domain question answering with graph-based retrieval augmented generation. arXiv:2503.02922.</w:t>
      </w:r>
    </w:p>
    <w:p>
      <w:pPr>
        <w:pStyle w:val="Small"/>
        <w:spacing w:after="40"/>
      </w:pPr>
      <w:r>
        <w:rPr>
          <w:b/>
        </w:rPr>
        <w:t xml:space="preserve">[R5] </w:t>
      </w:r>
      <w:r>
        <w:t>Santacroce, M. et al. (2026). CLARIESG: An End-to-End System for ESG Analysis over Complex Tables in Corporate Reports. EACL 2026, DOI: 10.18653/v1/2026.eacl-demo.7.</w:t>
      </w:r>
    </w:p>
    <w:p>
      <w:pPr>
        <w:pStyle w:val="Small"/>
        <w:spacing w:after="40"/>
      </w:pPr>
      <w:r>
        <w:rPr>
          <w:b/>
        </w:rPr>
        <w:t xml:space="preserve">[R6] </w:t>
      </w:r>
      <w:r>
        <w:t>Nguyen, L. S. T. &amp; Quan, T. T. (2026). Which Works Best for Vietnamese? A Practical Study of Information Retrieval Methods across Domains. Findings of EACL 2026, DOI: 10.18653/v1/2026.findings-eacl.110.</w:t>
      </w:r>
    </w:p>
    <w:p>
      <w:pPr>
        <w:pStyle w:val="Small"/>
        <w:spacing w:after="40"/>
      </w:pPr>
      <w:r>
        <w:rPr>
          <w:b/>
        </w:rPr>
        <w:t xml:space="preserve">[R7] </w:t>
      </w:r>
      <w:r>
        <w:t>Rosenthal, S. et al. (2026). SemEval-2026 Task 8: MTRAGEval: Evaluating Multi-Turn RAG Conversations. DOI: 10.18653/v1/2026.semeval-1.447.</w:t>
      </w:r>
    </w:p>
    <w:p>
      <w:pPr>
        <w:pStyle w:val="Small"/>
        <w:spacing w:after="40"/>
      </w:pPr>
      <w:r>
        <w:rPr>
          <w:b/>
        </w:rPr>
        <w:t xml:space="preserve">[R8] </w:t>
      </w:r>
      <w:r>
        <w:t>Cymbler, R., Guez, D., &amp; Fabre, L. (2026). Temporal Misgrounding in Legal RAG: A Versioned-Corpus Benchmark for French Tax Law. arXiv:2608.09393.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06_TECHNICAL_BACKLOG_AND_DOD | GreenScan AI | 2026.08.13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