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32"/>
          <w:szCs w:val="32"/>
        </w:rPr>
        <w:t xml:space="preserve">KHẢO SÁT BÀI TOÁN DỰ ĐOÁN TUỔI XƯƠNG TỪ ẢNH X-QUANG BÀN TAY</w:t>
      </w:r>
    </w:p>
    <w:p>
      <w:pPr>
        <w:spacing w:after="300"/>
      </w:pPr>
      <w:r>
        <w:rPr>
          <w:rFonts w:ascii="Calibri" w:cs="Calibri" w:eastAsia="Calibri" w:hAnsi="Calibri"/>
          <w:i/>
          <w:iCs/>
          <w:color w:val="555555"/>
          <w:sz w:val="22"/>
          <w:szCs w:val="22"/>
        </w:rPr>
        <w:t xml:space="preserve">Tài liệu khảo sát phục vụ đồ án tốt nghiệp — Tạo sinh ảnh X-quang bàn tay bằng GPT-Image</w:t>
      </w:r>
    </w:p>
    <w:p>
      <w:pPr>
        <w:pStyle w:val="Heading1"/>
        <w:spacing w:after="150" w:before="300"/>
      </w:pPr>
      <w:r>
        <w:rPr>
          <w:rFonts w:ascii="Calibri" w:cs="Calibri" w:eastAsia="Calibri" w:hAnsi="Calibri"/>
        </w:rPr>
        <w:t xml:space="preserve">1. Định nghĩa và bối cảnh bài toán</w:t>
      </w:r>
    </w:p>
    <w:p>
      <w:pPr>
        <w:spacing w:after="120" w:line="300"/>
      </w:pPr>
      <w:r>
        <w:rPr>
          <w:rFonts w:ascii="Calibri" w:cs="Calibri" w:eastAsia="Calibri" w:hAnsi="Calibri"/>
          <w:sz w:val="22"/>
          <w:szCs w:val="22"/>
        </w:rPr>
        <w:t xml:space="preserve">Tuổi xương (bone age) là chỉ số đánh giá mức độ trưởng thành của hệ xương, khác với tuổi thực (chronological age) của trẻ. Đây là chỉ số quan trọng trong chẩn đoán các rối loạn tăng trưởng và nội tiết ở trẻ em.</w:t>
      </w:r>
    </w:p>
    <w:p>
      <w:pPr>
        <w:pStyle w:val="ListParagraph"/>
        <w:numPr>
          <w:ilvl w:val="0"/>
          <w:numId w:val="2"/>
        </w:numPr>
        <w:spacing w:after="80" w:line="300"/>
      </w:pPr>
      <w:r>
        <w:rPr>
          <w:rFonts w:ascii="Calibri" w:cs="Calibri" w:eastAsia="Calibri" w:hAnsi="Calibri"/>
          <w:b/>
          <w:bCs/>
          <w:sz w:val="22"/>
          <w:szCs w:val="22"/>
        </w:rPr>
        <w:t xml:space="preserve">Phương pháp truyền thống: </w:t>
      </w:r>
      <w:r>
        <w:rPr>
          <w:rFonts w:ascii="Calibri" w:cs="Calibri" w:eastAsia="Calibri" w:hAnsi="Calibri"/>
          <w:sz w:val="22"/>
          <w:szCs w:val="22"/>
        </w:rPr>
        <w:t xml:space="preserve">Greulich-Pyle (GP) và Tanner-Whitehouse (TW) là hai chuẩn đánh giá thủ công phổ biến nhất, dựa trên việc bác sĩ so sánh ảnh X-quang với bộ atlas mẫu hoặc chấm điểm từng vùng xương.</w:t>
      </w:r>
    </w:p>
    <w:p>
      <w:pPr>
        <w:pStyle w:val="ListParagraph"/>
        <w:numPr>
          <w:ilvl w:val="0"/>
          <w:numId w:val="2"/>
        </w:numPr>
        <w:spacing w:after="80" w:line="300"/>
      </w:pPr>
      <w:r>
        <w:rPr>
          <w:rFonts w:ascii="Calibri" w:cs="Calibri" w:eastAsia="Calibri" w:hAnsi="Calibri"/>
          <w:b/>
          <w:bCs/>
          <w:sz w:val="22"/>
          <w:szCs w:val="22"/>
        </w:rPr>
        <w:t xml:space="preserve">Hạn chế: </w:t>
      </w:r>
      <w:r>
        <w:rPr>
          <w:rFonts w:ascii="Calibri" w:cs="Calibri" w:eastAsia="Calibri" w:hAnsi="Calibri"/>
          <w:sz w:val="22"/>
          <w:szCs w:val="22"/>
        </w:rPr>
        <w:t xml:space="preserve">độ chính xác phụ thuộc vào kinh nghiệm bác sĩ (tính chủ quan cao), thao tác phức tạp, tốn thời gian — đây chính là động lực để phát triển các phương pháp tự động hóa bằng học sâu.</w:t>
      </w:r>
    </w:p>
    <w:p>
      <w:pPr>
        <w:pStyle w:val="Heading1"/>
        <w:spacing w:after="150" w:before="300"/>
      </w:pPr>
      <w:r>
        <w:rPr>
          <w:rFonts w:ascii="Calibri" w:cs="Calibri" w:eastAsia="Calibri" w:hAnsi="Calibri"/>
        </w:rPr>
        <w:t xml:space="preserve">2. Bộ dữ liệu chuẩn cần khảo sát</w:t>
      </w:r>
    </w:p>
    <w:p>
      <w:pPr>
        <w:spacing w:after="120" w:line="300"/>
      </w:pPr>
      <w:r>
        <w:rPr>
          <w:rFonts w:ascii="Calibri" w:cs="Calibri" w:eastAsia="Calibri" w:hAnsi="Calibri"/>
          <w:sz w:val="22"/>
          <w:szCs w:val="22"/>
        </w:rPr>
        <w:t xml:space="preserve">Việc nắm rõ các bộ dữ liệu chuẩn giúp xác định baseline để so sánh với dữ liệu tổng hợp (synthetic) mà đồ án sẽ tạo 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c>
          <w:tcPr>
            <w:tcW w:type="dxa" w:w="2600"/>
            <w:shd w:fill="1F4E78" w:val="clear"/>
          </w:tcPr>
          <w:p>
            <w:r>
              <w:rPr>
                <w:rFonts w:ascii="Calibri" w:cs="Calibri" w:eastAsia="Calibri" w:hAnsi="Calibri"/>
                <w:b/>
                <w:bCs/>
                <w:color w:val="FFFFFF"/>
                <w:sz w:val="20"/>
                <w:szCs w:val="20"/>
              </w:rPr>
              <w:t xml:space="preserve">Bộ dữ liệu</w:t>
            </w:r>
          </w:p>
        </w:tc>
        <w:tc>
          <w:tcPr>
            <w:tcW w:type="dxa" w:w="2200"/>
            <w:shd w:fill="1F4E78" w:val="clear"/>
          </w:tcPr>
          <w:p>
            <w:r>
              <w:rPr>
                <w:rFonts w:ascii="Calibri" w:cs="Calibri" w:eastAsia="Calibri" w:hAnsi="Calibri"/>
                <w:b/>
                <w:bCs/>
                <w:color w:val="FFFFFF"/>
                <w:sz w:val="20"/>
                <w:szCs w:val="20"/>
              </w:rPr>
              <w:t xml:space="preserve">Quy mô</w:t>
            </w:r>
          </w:p>
        </w:tc>
        <w:tc>
          <w:tcPr>
            <w:tcW w:type="dxa" w:w="4200"/>
            <w:shd w:fill="1F4E78" w:val="clear"/>
          </w:tcPr>
          <w:p>
            <w:r>
              <w:rPr>
                <w:rFonts w:ascii="Calibri" w:cs="Calibri" w:eastAsia="Calibri" w:hAnsi="Calibri"/>
                <w:b/>
                <w:bCs/>
                <w:color w:val="FFFFFF"/>
                <w:sz w:val="20"/>
                <w:szCs w:val="20"/>
              </w:rPr>
              <w:t xml:space="preserve">Ghi chú</w:t>
            </w:r>
          </w:p>
        </w:tc>
      </w:tr>
      <w:tr>
        <w:tc>
          <w:tcPr>
            <w:tcW w:type="dxa" w:w="2600"/>
          </w:tcPr>
          <w:p>
            <w:r>
              <w:rPr>
                <w:rFonts w:ascii="Calibri" w:cs="Calibri" w:eastAsia="Calibri" w:hAnsi="Calibri"/>
                <w:b w:val="false"/>
                <w:bCs w:val="false"/>
                <w:color w:val="000000"/>
                <w:sz w:val="20"/>
                <w:szCs w:val="20"/>
              </w:rPr>
              <w:t xml:space="preserve">RSNA Bone Age Challenge</w:t>
            </w:r>
          </w:p>
        </w:tc>
        <w:tc>
          <w:tcPr>
            <w:tcW w:type="dxa" w:w="2200"/>
          </w:tcPr>
          <w:p>
            <w:r>
              <w:rPr>
                <w:rFonts w:ascii="Calibri" w:cs="Calibri" w:eastAsia="Calibri" w:hAnsi="Calibri"/>
                <w:b w:val="false"/>
                <w:bCs w:val="false"/>
                <w:color w:val="000000"/>
                <w:sz w:val="20"/>
                <w:szCs w:val="20"/>
              </w:rPr>
              <w:t xml:space="preserve">14.236 ảnh (12.611 train / 1.425 val / 200 test)</w:t>
            </w:r>
          </w:p>
        </w:tc>
        <w:tc>
          <w:tcPr>
            <w:tcW w:type="dxa" w:w="4200"/>
          </w:tcPr>
          <w:p>
            <w:r>
              <w:rPr>
                <w:rFonts w:ascii="Calibri" w:cs="Calibri" w:eastAsia="Calibri" w:hAnsi="Calibri"/>
                <w:b w:val="false"/>
                <w:bCs w:val="false"/>
                <w:color w:val="000000"/>
                <w:sz w:val="20"/>
                <w:szCs w:val="20"/>
              </w:rPr>
              <w:t xml:space="preserve">Chuẩn benchmark phổ biến nhất; X-quang bàn tay trái PA, 1 tháng–19 tuổi</w:t>
            </w:r>
          </w:p>
        </w:tc>
      </w:tr>
      <w:tr>
        <w:tc>
          <w:tcPr>
            <w:tcW w:type="dxa" w:w="2600"/>
          </w:tcPr>
          <w:p>
            <w:r>
              <w:rPr>
                <w:rFonts w:ascii="Calibri" w:cs="Calibri" w:eastAsia="Calibri" w:hAnsi="Calibri"/>
                <w:b w:val="false"/>
                <w:bCs w:val="false"/>
                <w:color w:val="000000"/>
                <w:sz w:val="20"/>
                <w:szCs w:val="20"/>
              </w:rPr>
              <w:t xml:space="preserve">Digital Hand Atlas</w:t>
            </w:r>
          </w:p>
        </w:tc>
        <w:tc>
          <w:tcPr>
            <w:tcW w:type="dxa" w:w="2200"/>
          </w:tcPr>
          <w:p>
            <w:r>
              <w:rPr>
                <w:rFonts w:ascii="Calibri" w:cs="Calibri" w:eastAsia="Calibri" w:hAnsi="Calibri"/>
                <w:b w:val="false"/>
                <w:bCs w:val="false"/>
                <w:color w:val="000000"/>
                <w:sz w:val="20"/>
                <w:szCs w:val="20"/>
              </w:rPr>
              <w:t xml:space="preserve">~1.400 ảnh</w:t>
            </w:r>
          </w:p>
        </w:tc>
        <w:tc>
          <w:tcPr>
            <w:tcW w:type="dxa" w:w="4200"/>
          </w:tcPr>
          <w:p>
            <w:r>
              <w:rPr>
                <w:rFonts w:ascii="Calibri" w:cs="Calibri" w:eastAsia="Calibri" w:hAnsi="Calibri"/>
                <w:b w:val="false"/>
                <w:bCs w:val="false"/>
                <w:color w:val="000000"/>
                <w:sz w:val="20"/>
                <w:szCs w:val="20"/>
              </w:rPr>
              <w:t xml:space="preserve">Bộ dữ liệu cũ hơn, đa chủng tộc, dùng để so sánh chéo</w:t>
            </w:r>
          </w:p>
        </w:tc>
      </w:tr>
      <w:tr>
        <w:tc>
          <w:tcPr>
            <w:tcW w:type="dxa" w:w="2600"/>
          </w:tcPr>
          <w:p>
            <w:r>
              <w:rPr>
                <w:rFonts w:ascii="Calibri" w:cs="Calibri" w:eastAsia="Calibri" w:hAnsi="Calibri"/>
                <w:b w:val="false"/>
                <w:bCs w:val="false"/>
                <w:color w:val="000000"/>
                <w:sz w:val="20"/>
                <w:szCs w:val="20"/>
              </w:rPr>
              <w:t xml:space="preserve">Synthetic Hand X-Ray (đề tài)</w:t>
            </w:r>
          </w:p>
        </w:tc>
        <w:tc>
          <w:tcPr>
            <w:tcW w:type="dxa" w:w="2200"/>
          </w:tcPr>
          <w:p>
            <w:r>
              <w:rPr>
                <w:rFonts w:ascii="Calibri" w:cs="Calibri" w:eastAsia="Calibri" w:hAnsi="Calibri"/>
                <w:b w:val="false"/>
                <w:bCs w:val="false"/>
                <w:color w:val="000000"/>
                <w:sz w:val="20"/>
                <w:szCs w:val="20"/>
              </w:rPr>
              <w:t xml:space="preserve">Tùy quy mô tạo sinh</w:t>
            </w:r>
          </w:p>
        </w:tc>
        <w:tc>
          <w:tcPr>
            <w:tcW w:type="dxa" w:w="4200"/>
          </w:tcPr>
          <w:p>
            <w:r>
              <w:rPr>
                <w:rFonts w:ascii="Calibri" w:cs="Calibri" w:eastAsia="Calibri" w:hAnsi="Calibri"/>
                <w:b w:val="false"/>
                <w:bCs w:val="false"/>
                <w:color w:val="000000"/>
                <w:sz w:val="20"/>
                <w:szCs w:val="20"/>
              </w:rPr>
              <w:t xml:space="preserve">Cần khảo sát kỹ nguồn gốc, phương pháp tạo, và độ tin cậy nhãn tuổi xương đi kèm</w:t>
            </w:r>
          </w:p>
        </w:tc>
      </w:tr>
    </w:tbl>
    <w:p>
      <w:pPr>
        <w:spacing w:after="200"/>
      </w:pPr>
    </w:p>
    <w:p>
      <w:pPr>
        <w:pStyle w:val="Heading1"/>
        <w:spacing w:after="150" w:before="300"/>
      </w:pPr>
      <w:r>
        <w:rPr>
          <w:rFonts w:ascii="Calibri" w:cs="Calibri" w:eastAsia="Calibri" w:hAnsi="Calibri"/>
        </w:rPr>
        <w:t xml:space="preserve">3. Các hướng tiếp cận học sâu (Deep Learning)</w:t>
      </w:r>
    </w:p>
    <w:p>
      <w:pPr>
        <w:pStyle w:val="Heading2"/>
        <w:spacing w:after="100" w:before="200"/>
      </w:pPr>
      <w:r>
        <w:rPr>
          <w:rFonts w:ascii="Calibri" w:cs="Calibri" w:eastAsia="Calibri" w:hAnsi="Calibri"/>
        </w:rPr>
        <w:t xml:space="preserve">3.1. Nhóm annotation-free (không cần gán nhãn vùng thủ công)</w:t>
      </w:r>
    </w:p>
    <w:p>
      <w:pPr>
        <w:spacing w:after="120" w:line="300"/>
      </w:pPr>
      <w:r>
        <w:rPr>
          <w:rFonts w:ascii="Calibri" w:cs="Calibri" w:eastAsia="Calibri" w:hAnsi="Calibri"/>
          <w:sz w:val="22"/>
          <w:szCs w:val="22"/>
        </w:rPr>
        <w:t xml:space="preserve">Sử dụng toàn bộ ảnh làm đầu vào, huấn luyện end-to-end. Ưu điểm là đơn giản triển khai, nhược điểm là độ chính xác thường thấp hơn nhóm có gán nhãn vùng.</w:t>
      </w:r>
    </w:p>
    <w:p>
      <w:pPr>
        <w:pStyle w:val="Heading2"/>
        <w:spacing w:after="100" w:before="200"/>
      </w:pPr>
      <w:r>
        <w:rPr>
          <w:rFonts w:ascii="Calibri" w:cs="Calibri" w:eastAsia="Calibri" w:hAnsi="Calibri"/>
        </w:rPr>
        <w:t xml:space="preserve">3.2. Nhóm annotation-based (có gán nhãn vùng ROI)</w:t>
      </w:r>
    </w:p>
    <w:p>
      <w:pPr>
        <w:spacing w:after="120" w:line="300"/>
      </w:pPr>
      <w:r>
        <w:rPr>
          <w:rFonts w:ascii="Calibri" w:cs="Calibri" w:eastAsia="Calibri" w:hAnsi="Calibri"/>
          <w:sz w:val="22"/>
          <w:szCs w:val="22"/>
        </w:rPr>
        <w:t xml:space="preserve">Trích xuất đặc trưng từ các vùng giải phẫu quan trọng: đốt xương bàn tay và ngón tay (metacarpus &amp; phalanx), xương cổ tay (carpal), xương trụ và xương quay (ulna, radius). Nhóm này thường đạt độ chính xác cao hơn nhờ tận dụng tri thức giải phẫu.</w:t>
      </w:r>
    </w:p>
    <w:p>
      <w:pPr>
        <w:pStyle w:val="Heading2"/>
        <w:spacing w:after="100" w:before="200"/>
      </w:pPr>
      <w:r>
        <w:rPr>
          <w:rFonts w:ascii="Calibri" w:cs="Calibri" w:eastAsia="Calibri" w:hAnsi="Calibri"/>
        </w:rPr>
        <w:t xml:space="preserve">3.3. Các kỹ thuật nâng cao</w:t>
      </w:r>
    </w:p>
    <w:p>
      <w:pPr>
        <w:pStyle w:val="ListParagraph"/>
        <w:numPr>
          <w:ilvl w:val="0"/>
          <w:numId w:val="2"/>
        </w:numPr>
        <w:spacing w:after="80" w:line="300"/>
      </w:pPr>
      <w:r>
        <w:rPr>
          <w:rFonts w:ascii="Calibri" w:cs="Calibri" w:eastAsia="Calibri" w:hAnsi="Calibri"/>
          <w:sz w:val="22"/>
          <w:szCs w:val="22"/>
        </w:rPr>
        <w:t xml:space="preserve">Cơ chế attention để tự động khoanh vùng quan trọng mà không cần nhãn thủ công</w:t>
      </w:r>
    </w:p>
    <w:p>
      <w:pPr>
        <w:pStyle w:val="ListParagraph"/>
        <w:numPr>
          <w:ilvl w:val="0"/>
          <w:numId w:val="2"/>
        </w:numPr>
        <w:spacing w:after="80" w:line="300"/>
      </w:pPr>
      <w:r>
        <w:rPr>
          <w:rFonts w:ascii="Calibri" w:cs="Calibri" w:eastAsia="Calibri" w:hAnsi="Calibri"/>
          <w:sz w:val="22"/>
          <w:szCs w:val="22"/>
        </w:rPr>
        <w:t xml:space="preserve">Ensemble nhiều mô hình (kết hợp nhiều kiến trúc CNN)</w:t>
      </w:r>
    </w:p>
    <w:p>
      <w:pPr>
        <w:pStyle w:val="ListParagraph"/>
        <w:numPr>
          <w:ilvl w:val="0"/>
          <w:numId w:val="2"/>
        </w:numPr>
        <w:spacing w:after="80" w:line="300"/>
      </w:pPr>
      <w:r>
        <w:rPr>
          <w:rFonts w:ascii="Calibri" w:cs="Calibri" w:eastAsia="Calibri" w:hAnsi="Calibri"/>
          <w:sz w:val="22"/>
          <w:szCs w:val="22"/>
        </w:rPr>
        <w:t xml:space="preserve">Kết hợp thông tin giới tính (sex) làm đặc trưng đầu vào phụ</w:t>
      </w:r>
    </w:p>
    <w:p>
      <w:pPr>
        <w:pStyle w:val="ListParagraph"/>
        <w:numPr>
          <w:ilvl w:val="0"/>
          <w:numId w:val="2"/>
        </w:numPr>
        <w:spacing w:after="80" w:line="300"/>
      </w:pPr>
      <w:r>
        <w:rPr>
          <w:rFonts w:ascii="Calibri" w:cs="Calibri" w:eastAsia="Calibri" w:hAnsi="Calibri"/>
          <w:sz w:val="22"/>
          <w:szCs w:val="22"/>
        </w:rPr>
        <w:t xml:space="preserve">Active learning để giảm gánh nặng gán nhãn dữ liệu</w:t>
      </w:r>
    </w:p>
    <w:p>
      <w:pPr>
        <w:pStyle w:val="ListParagraph"/>
        <w:numPr>
          <w:ilvl w:val="0"/>
          <w:numId w:val="2"/>
        </w:numPr>
        <w:spacing w:after="80" w:line="300"/>
      </w:pPr>
      <w:r>
        <w:rPr>
          <w:rFonts w:ascii="Calibri" w:cs="Calibri" w:eastAsia="Calibri" w:hAnsi="Calibri"/>
          <w:sz w:val="22"/>
          <w:szCs w:val="22"/>
        </w:rPr>
        <w:t xml:space="preserve">Tiền xử lý nâng cao: CLAHE, chuyển đổi tương phản (contrast conversion), chuẩn hóa histogram</w:t>
      </w:r>
    </w:p>
    <w:p>
      <w:pPr>
        <w:pStyle w:val="Heading1"/>
        <w:spacing w:after="150" w:before="300"/>
      </w:pPr>
      <w:r>
        <w:rPr>
          <w:rFonts w:ascii="Calibri" w:cs="Calibri" w:eastAsia="Calibri" w:hAnsi="Calibri"/>
        </w:rPr>
        <w:t xml:space="preserve">4. Chỉ số đánh giá (Metrics)</w:t>
      </w:r>
    </w:p>
    <w:p>
      <w:pPr>
        <w:pStyle w:val="ListParagraph"/>
        <w:numPr>
          <w:ilvl w:val="0"/>
          <w:numId w:val="2"/>
        </w:numPr>
        <w:spacing w:after="80" w:line="300"/>
      </w:pPr>
      <w:r>
        <w:rPr>
          <w:rFonts w:ascii="Calibri" w:cs="Calibri" w:eastAsia="Calibri" w:hAnsi="Calibri"/>
          <w:sz w:val="22"/>
          <w:szCs w:val="22"/>
        </w:rPr>
        <w:t xml:space="preserve">MAE (Mean Absolute Error) — đơn vị tháng, chỉ số phổ biến nhất, càng thấp càng tốt</w:t>
      </w:r>
    </w:p>
    <w:p>
      <w:pPr>
        <w:pStyle w:val="ListParagraph"/>
        <w:numPr>
          <w:ilvl w:val="0"/>
          <w:numId w:val="2"/>
        </w:numPr>
        <w:spacing w:after="80" w:line="300"/>
      </w:pPr>
      <w:r>
        <w:rPr>
          <w:rFonts w:ascii="Calibri" w:cs="Calibri" w:eastAsia="Calibri" w:hAnsi="Calibri"/>
          <w:sz w:val="22"/>
          <w:szCs w:val="22"/>
        </w:rPr>
        <w:t xml:space="preserve">RMSE (Root Mean Square Error) — nhạy hơn với các sai số lớn</w:t>
      </w:r>
    </w:p>
    <w:p>
      <w:pPr>
        <w:pStyle w:val="ListParagraph"/>
        <w:numPr>
          <w:ilvl w:val="0"/>
          <w:numId w:val="2"/>
        </w:numPr>
        <w:spacing w:after="80" w:line="300"/>
      </w:pPr>
      <w:r>
        <w:rPr>
          <w:rFonts w:ascii="Calibri" w:cs="Calibri" w:eastAsia="Calibri" w:hAnsi="Calibri"/>
          <w:sz w:val="22"/>
          <w:szCs w:val="22"/>
        </w:rPr>
        <w:t xml:space="preserve">1-year accuracy — tỷ lệ dự đoán có sai lệch dưới 1 năm so với tuổi thật</w:t>
      </w:r>
    </w:p>
    <w:p>
      <w:pPr>
        <w:pStyle w:val="Heading1"/>
        <w:spacing w:after="150" w:before="300"/>
      </w:pPr>
      <w:r>
        <w:rPr>
          <w:rFonts w:ascii="Calibri" w:cs="Calibri" w:eastAsia="Calibri" w:hAnsi="Calibri"/>
        </w:rPr>
        <w:t xml:space="preserve">5. Mốc hiệu năng SOTA (State-of-the-Art) tham khảo</w:t>
      </w:r>
    </w:p>
    <w:p>
      <w:pPr>
        <w:spacing w:after="120" w:line="300"/>
      </w:pPr>
      <w:r>
        <w:rPr>
          <w:rFonts w:ascii="Calibri" w:cs="Calibri" w:eastAsia="Calibri" w:hAnsi="Calibri"/>
          <w:sz w:val="22"/>
          <w:szCs w:val="22"/>
        </w:rPr>
        <w:t xml:space="preserve">Bảng dưới đây tổng hợp các mốc MAE quan trọng qua các năm, dùng làm ngưỡng tham chiếu khi đánh giá mô hình huấn luyện trên dữ liệu tổng hợp so với dữ liệu thật.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00"/>
      </w:tblGrid>
      <w:tr>
        <w:tc>
          <w:tcPr>
            <w:tcW w:type="dxa" w:w="3600"/>
            <w:shd w:fill="1F4E78" w:val="clear"/>
          </w:tcPr>
          <w:p>
            <w:r>
              <w:rPr>
                <w:rFonts w:ascii="Calibri" w:cs="Calibri" w:eastAsia="Calibri" w:hAnsi="Calibri"/>
                <w:b/>
                <w:bCs/>
                <w:color w:val="FFFFFF"/>
                <w:sz w:val="20"/>
                <w:szCs w:val="20"/>
              </w:rPr>
              <w:t xml:space="preserve">Phương pháp / Mô hình</w:t>
            </w:r>
          </w:p>
        </w:tc>
        <w:tc>
          <w:tcPr>
            <w:tcW w:type="dxa" w:w="2200"/>
            <w:shd w:fill="1F4E78" w:val="clear"/>
          </w:tcPr>
          <w:p>
            <w:r>
              <w:rPr>
                <w:rFonts w:ascii="Calibri" w:cs="Calibri" w:eastAsia="Calibri" w:hAnsi="Calibri"/>
                <w:b/>
                <w:bCs/>
                <w:color w:val="FFFFFF"/>
                <w:sz w:val="20"/>
                <w:szCs w:val="20"/>
              </w:rPr>
              <w:t xml:space="preserve">MAE (tháng)</w:t>
            </w:r>
          </w:p>
        </w:tc>
        <w:tc>
          <w:tcPr>
            <w:tcW w:type="dxa" w:w="3200"/>
            <w:shd w:fill="1F4E78" w:val="clear"/>
          </w:tcPr>
          <w:p>
            <w:r>
              <w:rPr>
                <w:rFonts w:ascii="Calibri" w:cs="Calibri" w:eastAsia="Calibri" w:hAnsi="Calibri"/>
                <w:b/>
                <w:bCs/>
                <w:color w:val="FFFFFF"/>
                <w:sz w:val="20"/>
                <w:szCs w:val="20"/>
              </w:rPr>
              <w:t xml:space="preserve">Nguồn / Năm</w:t>
            </w:r>
          </w:p>
        </w:tc>
      </w:tr>
      <w:tr>
        <w:tc>
          <w:tcPr>
            <w:tcW w:type="dxa" w:w="3600"/>
          </w:tcPr>
          <w:p>
            <w:r>
              <w:rPr>
                <w:rFonts w:ascii="Calibri" w:cs="Calibri" w:eastAsia="Calibri" w:hAnsi="Calibri"/>
                <w:b w:val="false"/>
                <w:bCs w:val="false"/>
                <w:color w:val="000000"/>
                <w:sz w:val="20"/>
                <w:szCs w:val="20"/>
              </w:rPr>
              <w:t xml:space="preserve">Bonet (deformation layer, annotation-free)</w:t>
            </w:r>
          </w:p>
        </w:tc>
        <w:tc>
          <w:tcPr>
            <w:tcW w:type="dxa" w:w="2200"/>
          </w:tcPr>
          <w:p>
            <w:r>
              <w:rPr>
                <w:rFonts w:ascii="Calibri" w:cs="Calibri" w:eastAsia="Calibri" w:hAnsi="Calibri"/>
                <w:b w:val="false"/>
                <w:bCs w:val="false"/>
                <w:color w:val="000000"/>
                <w:sz w:val="20"/>
                <w:szCs w:val="20"/>
              </w:rPr>
              <w:t xml:space="preserve">9.60</w:t>
            </w:r>
          </w:p>
        </w:tc>
        <w:tc>
          <w:tcPr>
            <w:tcW w:type="dxa" w:w="3200"/>
          </w:tcPr>
          <w:p>
            <w:r>
              <w:rPr>
                <w:rFonts w:ascii="Calibri" w:cs="Calibri" w:eastAsia="Calibri" w:hAnsi="Calibri"/>
                <w:b w:val="false"/>
                <w:bCs w:val="false"/>
                <w:color w:val="000000"/>
                <w:sz w:val="20"/>
                <w:szCs w:val="20"/>
              </w:rPr>
              <w:t xml:space="preserve">Spampinato et al., 2017</w:t>
            </w:r>
          </w:p>
        </w:tc>
      </w:tr>
      <w:tr>
        <w:tc>
          <w:tcPr>
            <w:tcW w:type="dxa" w:w="3600"/>
          </w:tcPr>
          <w:p>
            <w:r>
              <w:rPr>
                <w:rFonts w:ascii="Calibri" w:cs="Calibri" w:eastAsia="Calibri" w:hAnsi="Calibri"/>
                <w:b w:val="false"/>
                <w:bCs w:val="false"/>
                <w:color w:val="000000"/>
                <w:sz w:val="20"/>
                <w:szCs w:val="20"/>
              </w:rPr>
              <w:t xml:space="preserve">ResNet50 (dựa trên ánh xạ G&amp;P)</w:t>
            </w:r>
          </w:p>
        </w:tc>
        <w:tc>
          <w:tcPr>
            <w:tcW w:type="dxa" w:w="2200"/>
          </w:tcPr>
          <w:p>
            <w:r>
              <w:rPr>
                <w:rFonts w:ascii="Calibri" w:cs="Calibri" w:eastAsia="Calibri" w:hAnsi="Calibri"/>
                <w:b w:val="false"/>
                <w:bCs w:val="false"/>
                <w:color w:val="000000"/>
                <w:sz w:val="20"/>
                <w:szCs w:val="20"/>
              </w:rPr>
              <w:t xml:space="preserve">6.24</w:t>
            </w:r>
          </w:p>
        </w:tc>
        <w:tc>
          <w:tcPr>
            <w:tcW w:type="dxa" w:w="3200"/>
          </w:tcPr>
          <w:p>
            <w:r>
              <w:rPr>
                <w:rFonts w:ascii="Calibri" w:cs="Calibri" w:eastAsia="Calibri" w:hAnsi="Calibri"/>
                <w:b w:val="false"/>
                <w:bCs w:val="false"/>
                <w:color w:val="000000"/>
                <w:sz w:val="20"/>
                <w:szCs w:val="20"/>
              </w:rPr>
              <w:t xml:space="preserve">Larson et al., 2017</w:t>
            </w:r>
          </w:p>
        </w:tc>
      </w:tr>
      <w:tr>
        <w:tc>
          <w:tcPr>
            <w:tcW w:type="dxa" w:w="3600"/>
          </w:tcPr>
          <w:p>
            <w:r>
              <w:rPr>
                <w:rFonts w:ascii="Calibri" w:cs="Calibri" w:eastAsia="Calibri" w:hAnsi="Calibri"/>
                <w:b w:val="false"/>
                <w:bCs w:val="false"/>
                <w:color w:val="000000"/>
                <w:sz w:val="20"/>
                <w:szCs w:val="20"/>
              </w:rPr>
              <w:t xml:space="preserve">RSNA Challenge Winner (U-Net, ensemble 3 vùng)</w:t>
            </w:r>
          </w:p>
        </w:tc>
        <w:tc>
          <w:tcPr>
            <w:tcW w:type="dxa" w:w="2200"/>
          </w:tcPr>
          <w:p>
            <w:r>
              <w:rPr>
                <w:rFonts w:ascii="Calibri" w:cs="Calibri" w:eastAsia="Calibri" w:hAnsi="Calibri"/>
                <w:b w:val="false"/>
                <w:bCs w:val="false"/>
                <w:color w:val="000000"/>
                <w:sz w:val="20"/>
                <w:szCs w:val="20"/>
              </w:rPr>
              <w:t xml:space="preserve">4.97</w:t>
            </w:r>
          </w:p>
        </w:tc>
        <w:tc>
          <w:tcPr>
            <w:tcW w:type="dxa" w:w="3200"/>
          </w:tcPr>
          <w:p>
            <w:r>
              <w:rPr>
                <w:rFonts w:ascii="Calibri" w:cs="Calibri" w:eastAsia="Calibri" w:hAnsi="Calibri"/>
                <w:b w:val="false"/>
                <w:bCs w:val="false"/>
                <w:color w:val="000000"/>
                <w:sz w:val="20"/>
                <w:szCs w:val="20"/>
              </w:rPr>
              <w:t xml:space="preserve">Iglovikov et al., 2017</w:t>
            </w:r>
          </w:p>
        </w:tc>
      </w:tr>
      <w:tr>
        <w:tc>
          <w:tcPr>
            <w:tcW w:type="dxa" w:w="3600"/>
          </w:tcPr>
          <w:p>
            <w:r>
              <w:rPr>
                <w:rFonts w:ascii="Calibri" w:cs="Calibri" w:eastAsia="Calibri" w:hAnsi="Calibri"/>
                <w:b w:val="false"/>
                <w:bCs w:val="false"/>
                <w:color w:val="000000"/>
                <w:sz w:val="20"/>
                <w:szCs w:val="20"/>
              </w:rPr>
              <w:t xml:space="preserve">Ensemble CNN transfer learning (active learning)</w:t>
            </w:r>
          </w:p>
        </w:tc>
        <w:tc>
          <w:tcPr>
            <w:tcW w:type="dxa" w:w="2200"/>
          </w:tcPr>
          <w:p>
            <w:r>
              <w:rPr>
                <w:rFonts w:ascii="Calibri" w:cs="Calibri" w:eastAsia="Calibri" w:hAnsi="Calibri"/>
                <w:b w:val="false"/>
                <w:bCs w:val="false"/>
                <w:color w:val="000000"/>
                <w:sz w:val="20"/>
                <w:szCs w:val="20"/>
              </w:rPr>
              <w:t xml:space="preserve">8.59 (TB) / 6.96 (nam) / 7.35 (nữ)</w:t>
            </w:r>
          </w:p>
        </w:tc>
        <w:tc>
          <w:tcPr>
            <w:tcW w:type="dxa" w:w="3200"/>
          </w:tcPr>
          <w:p>
            <w:r>
              <w:rPr>
                <w:rFonts w:ascii="Calibri" w:cs="Calibri" w:eastAsia="Calibri" w:hAnsi="Calibri"/>
                <w:b w:val="false"/>
                <w:bCs w:val="false"/>
                <w:color w:val="000000"/>
                <w:sz w:val="20"/>
                <w:szCs w:val="20"/>
              </w:rPr>
              <w:t xml:space="preserve">Pan et al., 2020</w:t>
            </w:r>
          </w:p>
        </w:tc>
      </w:tr>
      <w:tr>
        <w:tc>
          <w:tcPr>
            <w:tcW w:type="dxa" w:w="3600"/>
          </w:tcPr>
          <w:p>
            <w:r>
              <w:rPr>
                <w:rFonts w:ascii="Calibri" w:cs="Calibri" w:eastAsia="Calibri" w:hAnsi="Calibri"/>
                <w:b w:val="false"/>
                <w:bCs w:val="false"/>
                <w:color w:val="000000"/>
                <w:sz w:val="20"/>
                <w:szCs w:val="20"/>
              </w:rPr>
              <w:t xml:space="preserve">PRSNet (single / ensemble)</w:t>
            </w:r>
          </w:p>
        </w:tc>
        <w:tc>
          <w:tcPr>
            <w:tcW w:type="dxa" w:w="2200"/>
          </w:tcPr>
          <w:p>
            <w:r>
              <w:rPr>
                <w:rFonts w:ascii="Calibri" w:cs="Calibri" w:eastAsia="Calibri" w:hAnsi="Calibri"/>
                <w:b w:val="false"/>
                <w:bCs w:val="false"/>
                <w:color w:val="000000"/>
                <w:sz w:val="20"/>
                <w:szCs w:val="20"/>
              </w:rPr>
              <w:t xml:space="preserve">4.49 / &lt;4.49</w:t>
            </w:r>
          </w:p>
        </w:tc>
        <w:tc>
          <w:tcPr>
            <w:tcW w:type="dxa" w:w="3200"/>
          </w:tcPr>
          <w:p>
            <w:r>
              <w:rPr>
                <w:rFonts w:ascii="Calibri" w:cs="Calibri" w:eastAsia="Calibri" w:hAnsi="Calibri"/>
                <w:b w:val="false"/>
                <w:bCs w:val="false"/>
                <w:color w:val="000000"/>
                <w:sz w:val="20"/>
                <w:szCs w:val="20"/>
              </w:rPr>
              <w:t xml:space="preserve">Ji et al., 2019</w:t>
            </w:r>
          </w:p>
        </w:tc>
      </w:tr>
      <w:tr>
        <w:tc>
          <w:tcPr>
            <w:tcW w:type="dxa" w:w="3600"/>
          </w:tcPr>
          <w:p>
            <w:r>
              <w:rPr>
                <w:rFonts w:ascii="Calibri" w:cs="Calibri" w:eastAsia="Calibri" w:hAnsi="Calibri"/>
                <w:b w:val="false"/>
                <w:bCs w:val="false"/>
                <w:color w:val="000000"/>
                <w:sz w:val="20"/>
                <w:szCs w:val="20"/>
              </w:rPr>
              <w:t xml:space="preserve">Attention-guided region learning (không cần nhãn thủ công)</w:t>
            </w:r>
          </w:p>
        </w:tc>
        <w:tc>
          <w:tcPr>
            <w:tcW w:type="dxa" w:w="2200"/>
          </w:tcPr>
          <w:p>
            <w:r>
              <w:rPr>
                <w:rFonts w:ascii="Calibri" w:cs="Calibri" w:eastAsia="Calibri" w:hAnsi="Calibri"/>
                <w:b w:val="false"/>
                <w:bCs w:val="false"/>
                <w:color w:val="000000"/>
                <w:sz w:val="20"/>
                <w:szCs w:val="20"/>
              </w:rPr>
              <w:t xml:space="preserve">4.30</w:t>
            </w:r>
          </w:p>
        </w:tc>
        <w:tc>
          <w:tcPr>
            <w:tcW w:type="dxa" w:w="3200"/>
          </w:tcPr>
          <w:p>
            <w:r>
              <w:rPr>
                <w:rFonts w:ascii="Calibri" w:cs="Calibri" w:eastAsia="Calibri" w:hAnsi="Calibri"/>
                <w:b w:val="false"/>
                <w:bCs w:val="false"/>
                <w:color w:val="000000"/>
                <w:sz w:val="20"/>
                <w:szCs w:val="20"/>
              </w:rPr>
              <w:t xml:space="preserve">Chen et al., 2020</w:t>
            </w:r>
          </w:p>
        </w:tc>
      </w:tr>
      <w:tr>
        <w:tc>
          <w:tcPr>
            <w:tcW w:type="dxa" w:w="3600"/>
          </w:tcPr>
          <w:p>
            <w:r>
              <w:rPr>
                <w:rFonts w:ascii="Calibri" w:cs="Calibri" w:eastAsia="Calibri" w:hAnsi="Calibri"/>
                <w:b w:val="false"/>
                <w:bCs w:val="false"/>
                <w:color w:val="000000"/>
                <w:sz w:val="20"/>
                <w:szCs w:val="20"/>
              </w:rPr>
              <w:t xml:space="preserve">MobileNetV2 ensemble (divide-and-conquer, nhẹ)</w:t>
            </w:r>
          </w:p>
        </w:tc>
        <w:tc>
          <w:tcPr>
            <w:tcW w:type="dxa" w:w="2200"/>
          </w:tcPr>
          <w:p>
            <w:r>
              <w:rPr>
                <w:rFonts w:ascii="Calibri" w:cs="Calibri" w:eastAsia="Calibri" w:hAnsi="Calibri"/>
                <w:b w:val="false"/>
                <w:bCs w:val="false"/>
                <w:color w:val="000000"/>
                <w:sz w:val="20"/>
                <w:szCs w:val="20"/>
              </w:rPr>
              <w:t xml:space="preserve">3.90 (0–20t) / 3.84 (1–18t)</w:t>
            </w:r>
          </w:p>
        </w:tc>
        <w:tc>
          <w:tcPr>
            <w:tcW w:type="dxa" w:w="3200"/>
          </w:tcPr>
          <w:p>
            <w:r>
              <w:rPr>
                <w:rFonts w:ascii="Calibri" w:cs="Calibri" w:eastAsia="Calibri" w:hAnsi="Calibri"/>
                <w:b w:val="false"/>
                <w:bCs w:val="false"/>
                <w:color w:val="000000"/>
                <w:sz w:val="20"/>
                <w:szCs w:val="20"/>
              </w:rPr>
              <w:t xml:space="preserve">Kasani et al., 2024</w:t>
            </w:r>
          </w:p>
        </w:tc>
      </w:tr>
    </w:tbl>
    <w:p>
      <w:pPr>
        <w:spacing w:after="200"/>
      </w:pPr>
    </w:p>
    <w:p>
      <w:pPr>
        <w:pStyle w:val="Heading1"/>
        <w:spacing w:after="150" w:before="300"/>
      </w:pPr>
      <w:r>
        <w:rPr>
          <w:rFonts w:ascii="Calibri" w:cs="Calibri" w:eastAsia="Calibri" w:hAnsi="Calibri"/>
        </w:rPr>
        <w:t xml:space="preserve">6. Các thách thức cần lưu ý</w:t>
      </w:r>
    </w:p>
    <w:p>
      <w:pPr>
        <w:pStyle w:val="ListParagraph"/>
        <w:numPr>
          <w:ilvl w:val="0"/>
          <w:numId w:val="2"/>
        </w:numPr>
        <w:spacing w:after="80" w:line="300"/>
      </w:pPr>
      <w:r>
        <w:rPr>
          <w:rFonts w:ascii="Calibri" w:cs="Calibri" w:eastAsia="Calibri" w:hAnsi="Calibri"/>
          <w:sz w:val="22"/>
          <w:szCs w:val="22"/>
        </w:rPr>
        <w:t xml:space="preserve">Sự khác biệt tuổi xương giữa nam và nữ — mô hình thường cần tách riêng hoặc dùng giới tính làm input</w:t>
      </w:r>
    </w:p>
    <w:p>
      <w:pPr>
        <w:pStyle w:val="ListParagraph"/>
        <w:numPr>
          <w:ilvl w:val="0"/>
          <w:numId w:val="2"/>
        </w:numPr>
        <w:spacing w:after="80" w:line="300"/>
      </w:pPr>
      <w:r>
        <w:rPr>
          <w:rFonts w:ascii="Calibri" w:cs="Calibri" w:eastAsia="Calibri" w:hAnsi="Calibri"/>
          <w:sz w:val="22"/>
          <w:szCs w:val="22"/>
        </w:rPr>
        <w:t xml:space="preserve">Vùng tuổi biên (trẻ rất nhỏ hoặc gần trưởng thành hoàn toàn) thường có sai số cao hơn do đặc trưng xương ít rõ ràng hoặc đã cốt hóa</w:t>
      </w:r>
    </w:p>
    <w:p>
      <w:pPr>
        <w:pStyle w:val="ListParagraph"/>
        <w:numPr>
          <w:ilvl w:val="0"/>
          <w:numId w:val="2"/>
        </w:numPr>
        <w:spacing w:after="80" w:line="300"/>
      </w:pPr>
      <w:r>
        <w:rPr>
          <w:rFonts w:ascii="Calibri" w:cs="Calibri" w:eastAsia="Calibri" w:hAnsi="Calibri"/>
          <w:sz w:val="22"/>
          <w:szCs w:val="22"/>
        </w:rPr>
        <w:t xml:space="preserve">Tiền xử lý ảnh: chuẩn hóa độ tương phản, crop vùng tay, loại bỏ nhiễu nền</w:t>
      </w:r>
    </w:p>
    <w:p>
      <w:pPr>
        <w:pStyle w:val="ListParagraph"/>
        <w:numPr>
          <w:ilvl w:val="0"/>
          <w:numId w:val="2"/>
        </w:numPr>
        <w:spacing w:after="80" w:line="300"/>
      </w:pPr>
      <w:r>
        <w:rPr>
          <w:rFonts w:ascii="Calibri" w:cs="Calibri" w:eastAsia="Calibri" w:hAnsi="Calibri"/>
          <w:sz w:val="22"/>
          <w:szCs w:val="22"/>
        </w:rPr>
        <w:t xml:space="preserve">Sai số liên chuyên gia (inter-rater variability) trong nhãn gốc — ảnh hưởng đến "trần" hiệu năng mà bất kỳ mô hình nào có thể đạt được</w:t>
      </w:r>
    </w:p>
    <w:p>
      <w:pPr>
        <w:pStyle w:val="ListParagraph"/>
        <w:numPr>
          <w:ilvl w:val="0"/>
          <w:numId w:val="2"/>
        </w:numPr>
        <w:spacing w:after="80" w:line="300"/>
      </w:pPr>
      <w:r>
        <w:rPr>
          <w:rFonts w:ascii="Calibri" w:cs="Calibri" w:eastAsia="Calibri" w:hAnsi="Calibri"/>
          <w:sz w:val="22"/>
          <w:szCs w:val="22"/>
        </w:rPr>
        <w:t xml:space="preserve">Đối với đề tài cụ thể: cần đánh giá liệu ảnh sinh bởi GPT-Image có tái tạo đúng các chi tiết giải phẫu quyết định tuổi xương (đường nối sụn tăng trưởng, mật độ xương) hay không — đây là điểm mấu chốt để phân tích nguyên nhân kết quả ở bước sau</w:t>
      </w:r>
    </w:p>
    <w:p>
      <w:pPr>
        <w:pStyle w:val="Heading1"/>
        <w:spacing w:after="150" w:before="300"/>
      </w:pPr>
      <w:r>
        <w:rPr>
          <w:rFonts w:ascii="Calibri" w:cs="Calibri" w:eastAsia="Calibri" w:hAnsi="Calibri"/>
        </w:rPr>
        <w:t xml:space="preserve">7. Các lĩnh vực kiến thức cần có cho đồ án</w:t>
      </w:r>
    </w:p>
    <w:p>
      <w:pPr>
        <w:spacing w:after="120" w:line="300"/>
      </w:pPr>
      <w:r>
        <w:rPr>
          <w:rFonts w:ascii="Calibri" w:cs="Calibri" w:eastAsia="Calibri" w:hAnsi="Calibri"/>
          <w:sz w:val="22"/>
          <w:szCs w:val="22"/>
        </w:rPr>
        <w:t xml:space="preserve">Dựa trên phạm vi đề tài (tạo sinh ảnh bằng GPT-Image + đánh giá bằng bài toán dự đoán tuổi xương), sinh viên cần trang bị kiến thức liên ngành sau: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1F4E78" w:val="clear"/>
          </w:tcPr>
          <w:p>
            <w:r>
              <w:rPr>
                <w:rFonts w:ascii="Calibri" w:cs="Calibri" w:eastAsia="Calibri" w:hAnsi="Calibri"/>
                <w:b/>
                <w:bCs/>
                <w:color w:val="FFFFFF"/>
                <w:sz w:val="20"/>
                <w:szCs w:val="20"/>
              </w:rPr>
              <w:t xml:space="preserve">Lĩnh vực</w:t>
            </w:r>
          </w:p>
        </w:tc>
        <w:tc>
          <w:tcPr>
            <w:tcW w:type="dxa" w:w="6400"/>
            <w:shd w:fill="1F4E78" w:val="clear"/>
          </w:tcPr>
          <w:p>
            <w:r>
              <w:rPr>
                <w:rFonts w:ascii="Calibri" w:cs="Calibri" w:eastAsia="Calibri" w:hAnsi="Calibri"/>
                <w:b/>
                <w:bCs/>
                <w:color w:val="FFFFFF"/>
                <w:sz w:val="20"/>
                <w:szCs w:val="20"/>
              </w:rPr>
              <w:t xml:space="preserve">Kiến thức / kỹ năng cụ thể cần có</w:t>
            </w:r>
          </w:p>
        </w:tc>
      </w:tr>
      <w:tr>
        <w:tc>
          <w:tcPr>
            <w:tcW w:type="dxa" w:w="2600"/>
          </w:tcPr>
          <w:p>
            <w:r>
              <w:rPr>
                <w:rFonts w:ascii="Calibri" w:cs="Calibri" w:eastAsia="Calibri" w:hAnsi="Calibri"/>
                <w:b w:val="false"/>
                <w:bCs w:val="false"/>
                <w:color w:val="000000"/>
                <w:sz w:val="20"/>
                <w:szCs w:val="20"/>
              </w:rPr>
              <w:t xml:space="preserve">Học sâu (Deep Learning) căn bản</w:t>
            </w:r>
          </w:p>
        </w:tc>
        <w:tc>
          <w:tcPr>
            <w:tcW w:type="dxa" w:w="6400"/>
          </w:tcPr>
          <w:p>
            <w:r>
              <w:rPr>
                <w:rFonts w:ascii="Calibri" w:cs="Calibri" w:eastAsia="Calibri" w:hAnsi="Calibri"/>
                <w:b w:val="false"/>
                <w:bCs w:val="false"/>
                <w:color w:val="000000"/>
                <w:sz w:val="20"/>
                <w:szCs w:val="20"/>
              </w:rPr>
              <w:t xml:space="preserve">CNN, kiến trúc ResNet/VGG/EfficientNet/MobileNet, cơ chế attention, transfer learning, ensemble learning, hàm mất mát cho bài toán hồi quy (MAE/MSE loss)</w:t>
            </w:r>
          </w:p>
        </w:tc>
      </w:tr>
      <w:tr>
        <w:tc>
          <w:tcPr>
            <w:tcW w:type="dxa" w:w="2600"/>
          </w:tcPr>
          <w:p>
            <w:r>
              <w:rPr>
                <w:rFonts w:ascii="Calibri" w:cs="Calibri" w:eastAsia="Calibri" w:hAnsi="Calibri"/>
                <w:b w:val="false"/>
                <w:bCs w:val="false"/>
                <w:color w:val="000000"/>
                <w:sz w:val="20"/>
                <w:szCs w:val="20"/>
              </w:rPr>
              <w:t xml:space="preserve">Mô hình sinh (Generative AI)</w:t>
            </w:r>
          </w:p>
        </w:tc>
        <w:tc>
          <w:tcPr>
            <w:tcW w:type="dxa" w:w="6400"/>
          </w:tcPr>
          <w:p>
            <w:r>
              <w:rPr>
                <w:rFonts w:ascii="Calibri" w:cs="Calibri" w:eastAsia="Calibri" w:hAnsi="Calibri"/>
                <w:b w:val="false"/>
                <w:bCs w:val="false"/>
                <w:color w:val="000000"/>
                <w:sz w:val="20"/>
                <w:szCs w:val="20"/>
              </w:rPr>
              <w:t xml:space="preserve">Nguyên lý hoạt động của mô hình tạo sinh ảnh dạng diffusion / autoregressive (như GPT-Image), text-to-image, image-to-image, điều kiện hóa (conditioning), và cách đánh giá chất lượng ảnh sinh (FID, đánh giá downstream task)</w:t>
            </w:r>
          </w:p>
        </w:tc>
      </w:tr>
      <w:tr>
        <w:tc>
          <w:tcPr>
            <w:tcW w:type="dxa" w:w="2600"/>
          </w:tcPr>
          <w:p>
            <w:r>
              <w:rPr>
                <w:rFonts w:ascii="Calibri" w:cs="Calibri" w:eastAsia="Calibri" w:hAnsi="Calibri"/>
                <w:b w:val="false"/>
                <w:bCs w:val="false"/>
                <w:color w:val="000000"/>
                <w:sz w:val="20"/>
                <w:szCs w:val="20"/>
              </w:rPr>
              <w:t xml:space="preserve">Xử lý ảnh y tế (Medical Imaging)</w:t>
            </w:r>
          </w:p>
        </w:tc>
        <w:tc>
          <w:tcPr>
            <w:tcW w:type="dxa" w:w="6400"/>
          </w:tcPr>
          <w:p>
            <w:r>
              <w:rPr>
                <w:rFonts w:ascii="Calibri" w:cs="Calibri" w:eastAsia="Calibri" w:hAnsi="Calibri"/>
                <w:b w:val="false"/>
                <w:bCs w:val="false"/>
                <w:color w:val="000000"/>
                <w:sz w:val="20"/>
                <w:szCs w:val="20"/>
              </w:rPr>
              <w:t xml:space="preserve">Định dạng ảnh X-quang (DICOM/PNG), tiền xử lý ảnh (chuẩn hóa cường độ, CLAHE, crop ROI), giải phẫu bàn tay và các mốc xương (epiphysis, metacarpal, carpal bones) để hiểu ý nghĩa lâm sàng của tuổi xương</w:t>
            </w:r>
          </w:p>
        </w:tc>
      </w:tr>
      <w:tr>
        <w:tc>
          <w:tcPr>
            <w:tcW w:type="dxa" w:w="2600"/>
          </w:tcPr>
          <w:p>
            <w:r>
              <w:rPr>
                <w:rFonts w:ascii="Calibri" w:cs="Calibri" w:eastAsia="Calibri" w:hAnsi="Calibri"/>
                <w:b w:val="false"/>
                <w:bCs w:val="false"/>
                <w:color w:val="000000"/>
                <w:sz w:val="20"/>
                <w:szCs w:val="20"/>
              </w:rPr>
              <w:t xml:space="preserve">Toán &amp; thống kê</w:t>
            </w:r>
          </w:p>
        </w:tc>
        <w:tc>
          <w:tcPr>
            <w:tcW w:type="dxa" w:w="6400"/>
          </w:tcPr>
          <w:p>
            <w:r>
              <w:rPr>
                <w:rFonts w:ascii="Calibri" w:cs="Calibri" w:eastAsia="Calibri" w:hAnsi="Calibri"/>
                <w:b w:val="false"/>
                <w:bCs w:val="false"/>
                <w:color w:val="000000"/>
                <w:sz w:val="20"/>
                <w:szCs w:val="20"/>
              </w:rPr>
              <w:t xml:space="preserve">Xác suất thống kê để hiểu phân phối tuổi trong dữ liệu, đánh giá sai số (MAE, RMSE), kiểm định giả thuyết khi so sánh hai mô hình (t-test)</w:t>
            </w:r>
          </w:p>
        </w:tc>
      </w:tr>
      <w:tr>
        <w:tc>
          <w:tcPr>
            <w:tcW w:type="dxa" w:w="2600"/>
          </w:tcPr>
          <w:p>
            <w:r>
              <w:rPr>
                <w:rFonts w:ascii="Calibri" w:cs="Calibri" w:eastAsia="Calibri" w:hAnsi="Calibri"/>
                <w:b w:val="false"/>
                <w:bCs w:val="false"/>
                <w:color w:val="000000"/>
                <w:sz w:val="20"/>
                <w:szCs w:val="20"/>
              </w:rPr>
              <w:t xml:space="preserve">Lập trình &amp; công cụ</w:t>
            </w:r>
          </w:p>
        </w:tc>
        <w:tc>
          <w:tcPr>
            <w:tcW w:type="dxa" w:w="6400"/>
          </w:tcPr>
          <w:p>
            <w:r>
              <w:rPr>
                <w:rFonts w:ascii="Calibri" w:cs="Calibri" w:eastAsia="Calibri" w:hAnsi="Calibri"/>
                <w:b w:val="false"/>
                <w:bCs w:val="false"/>
                <w:color w:val="000000"/>
                <w:sz w:val="20"/>
                <w:szCs w:val="20"/>
              </w:rPr>
              <w:t xml:space="preserve">Python, các thư viện NumPy, OpenCV, TensorFlow/PyTorch, Google Colab hoặc môi trường GPU cục bộ, quản lý pipeline dữ liệu lớn</w:t>
            </w:r>
          </w:p>
        </w:tc>
      </w:tr>
      <w:tr>
        <w:tc>
          <w:tcPr>
            <w:tcW w:type="dxa" w:w="2600"/>
          </w:tcPr>
          <w:p>
            <w:r>
              <w:rPr>
                <w:rFonts w:ascii="Calibri" w:cs="Calibri" w:eastAsia="Calibri" w:hAnsi="Calibri"/>
                <w:b w:val="false"/>
                <w:bCs w:val="false"/>
                <w:color w:val="000000"/>
                <w:sz w:val="20"/>
                <w:szCs w:val="20"/>
              </w:rPr>
              <w:t xml:space="preserve">Đọc hiểu tài liệu khoa học</w:t>
            </w:r>
          </w:p>
        </w:tc>
        <w:tc>
          <w:tcPr>
            <w:tcW w:type="dxa" w:w="6400"/>
          </w:tcPr>
          <w:p>
            <w:r>
              <w:rPr>
                <w:rFonts w:ascii="Calibri" w:cs="Calibri" w:eastAsia="Calibri" w:hAnsi="Calibri"/>
                <w:b w:val="false"/>
                <w:bCs w:val="false"/>
                <w:color w:val="000000"/>
                <w:sz w:val="20"/>
                <w:szCs w:val="20"/>
              </w:rPr>
              <w:t xml:space="preserve">Tiếng Anh học thuật để đọc và tổng hợp bài báo (arXiv, PMC, các hội nghị y sinh như MICCAI, hội nghị AI như CVPR/NeurIPS)</w:t>
            </w:r>
          </w:p>
        </w:tc>
      </w:tr>
      <w:tr>
        <w:tc>
          <w:tcPr>
            <w:tcW w:type="dxa" w:w="2600"/>
          </w:tcPr>
          <w:p>
            <w:r>
              <w:rPr>
                <w:rFonts w:ascii="Calibri" w:cs="Calibri" w:eastAsia="Calibri" w:hAnsi="Calibri"/>
                <w:b w:val="false"/>
                <w:bCs w:val="false"/>
                <w:color w:val="000000"/>
                <w:sz w:val="20"/>
                <w:szCs w:val="20"/>
              </w:rPr>
              <w:t xml:space="preserve">Phương pháp nghiên cứu khoa học</w:t>
            </w:r>
          </w:p>
        </w:tc>
        <w:tc>
          <w:tcPr>
            <w:tcW w:type="dxa" w:w="6400"/>
          </w:tcPr>
          <w:p>
            <w:r>
              <w:rPr>
                <w:rFonts w:ascii="Calibri" w:cs="Calibri" w:eastAsia="Calibri" w:hAnsi="Calibri"/>
                <w:b w:val="false"/>
                <w:bCs w:val="false"/>
                <w:color w:val="000000"/>
                <w:sz w:val="20"/>
                <w:szCs w:val="20"/>
              </w:rPr>
              <w:t xml:space="preserve">Cách thiết kế thực nghiệm so sánh công bằng (cùng tập test, cùng metric), viết khảo sát tài liệu (literature review), phân tích nguyên nhân kết quả (error analysis) thay vì chỉ báo cáo con số</w:t>
            </w:r>
          </w:p>
        </w:tc>
      </w:tr>
    </w:tbl>
    <w:p>
      <w:pPr>
        <w:spacing w:after="200"/>
      </w:pPr>
    </w:p>
    <w:p>
      <w:pPr>
        <w:pStyle w:val="Heading1"/>
        <w:spacing w:after="150" w:before="300"/>
      </w:pPr>
      <w:r>
        <w:rPr>
          <w:rFonts w:ascii="Calibri" w:cs="Calibri" w:eastAsia="Calibri" w:hAnsi="Calibri"/>
        </w:rPr>
        <w:t xml:space="preserve">8. Nguồn tham khảo chính đã khảo sát</w:t>
      </w:r>
    </w:p>
    <w:p>
      <w:pPr>
        <w:pStyle w:val="ListParagraph"/>
        <w:numPr>
          <w:ilvl w:val="0"/>
          <w:numId w:val="2"/>
        </w:numPr>
        <w:spacing w:after="80" w:line="300"/>
      </w:pPr>
      <w:r>
        <w:rPr>
          <w:rFonts w:ascii="Calibri" w:cs="Calibri" w:eastAsia="Calibri" w:hAnsi="Calibri"/>
          <w:sz w:val="22"/>
          <w:szCs w:val="22"/>
        </w:rPr>
        <w:t xml:space="preserve">RSNA Pediatric Bone Age Challenge Dataset — tài liệu mô tả bộ dữ liệu chuẩn</w:t>
      </w:r>
    </w:p>
    <w:p>
      <w:pPr>
        <w:pStyle w:val="ListParagraph"/>
        <w:numPr>
          <w:ilvl w:val="0"/>
          <w:numId w:val="2"/>
        </w:numPr>
        <w:spacing w:after="80" w:line="300"/>
      </w:pPr>
      <w:r>
        <w:rPr>
          <w:rFonts w:ascii="Calibri" w:cs="Calibri" w:eastAsia="Calibri" w:hAnsi="Calibri"/>
          <w:sz w:val="22"/>
          <w:szCs w:val="22"/>
        </w:rPr>
        <w:t xml:space="preserve">Bone age assessment based on deep neural networks with annotation-free cascaded critical bone region extraction (PMC / Frontiers in AI)</w:t>
      </w:r>
    </w:p>
    <w:p>
      <w:pPr>
        <w:pStyle w:val="ListParagraph"/>
        <w:numPr>
          <w:ilvl w:val="0"/>
          <w:numId w:val="2"/>
        </w:numPr>
        <w:spacing w:after="80" w:line="300"/>
      </w:pPr>
      <w:r>
        <w:rPr>
          <w:rFonts w:ascii="Calibri" w:cs="Calibri" w:eastAsia="Calibri" w:hAnsi="Calibri"/>
          <w:sz w:val="22"/>
          <w:szCs w:val="22"/>
        </w:rPr>
        <w:t xml:space="preserve">Fully Automated Bone Age Assessment on Large-Scale Hand X-Ray Dataset (PMC)</w:t>
      </w:r>
    </w:p>
    <w:p>
      <w:pPr>
        <w:pStyle w:val="ListParagraph"/>
        <w:numPr>
          <w:ilvl w:val="0"/>
          <w:numId w:val="2"/>
        </w:numPr>
        <w:spacing w:after="80" w:line="300"/>
      </w:pPr>
      <w:r>
        <w:rPr>
          <w:rFonts w:ascii="Calibri" w:cs="Calibri" w:eastAsia="Calibri" w:hAnsi="Calibri"/>
          <w:sz w:val="22"/>
          <w:szCs w:val="22"/>
        </w:rPr>
        <w:t xml:space="preserve">Improve bone age assessment by learning from anatomical local regions (arXiv 2005.13452)</w:t>
      </w:r>
    </w:p>
    <w:p>
      <w:pPr>
        <w:pStyle w:val="ListParagraph"/>
        <w:numPr>
          <w:ilvl w:val="0"/>
          <w:numId w:val="2"/>
        </w:numPr>
        <w:spacing w:after="80" w:line="300"/>
      </w:pPr>
      <w:r>
        <w:rPr>
          <w:rFonts w:ascii="Calibri" w:cs="Calibri" w:eastAsia="Calibri" w:hAnsi="Calibri"/>
          <w:sz w:val="22"/>
          <w:szCs w:val="22"/>
        </w:rPr>
        <w:t xml:space="preserve">An accurate pediatric bone age prediction model using deep learning and contrast conversion</w:t>
      </w:r>
    </w:p>
    <w:p>
      <w:pPr>
        <w:pStyle w:val="ListParagraph"/>
        <w:numPr>
          <w:ilvl w:val="0"/>
          <w:numId w:val="2"/>
        </w:numPr>
        <w:spacing w:after="80" w:line="300"/>
      </w:pPr>
      <w:r>
        <w:rPr>
          <w:rFonts w:ascii="Calibri" w:cs="Calibri" w:eastAsia="Calibri" w:hAnsi="Calibri"/>
          <w:sz w:val="22"/>
          <w:szCs w:val="22"/>
        </w:rPr>
        <w:t xml:space="preserve">Bài báo GPT-Image1 (arXiv 2511.23066) — cần khảo sát chi tiết ở bước tiếp theo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2026-07-07T15:08:11.118Z</dcterms:created>
  <dcterms:modified xsi:type="dcterms:W3CDTF">2026-07-07T15:08:11.118Z</dcterms:modified>
</cp:coreProperties>
</file>

<file path=docProps/custom.xml><?xml version="1.0" encoding="utf-8"?>
<Properties xmlns="http://schemas.openxmlformats.org/officeDocument/2006/custom-properties" xmlns:vt="http://schemas.openxmlformats.org/officeDocument/2006/docPropsVTypes"/>
</file>