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システム認証仕様書 (System Authentication Spec)</w:t>
      </w:r>
    </w:p>
    <w:p>
      <w:pPr>
        <w:pStyle w:val="Heading1"/>
      </w:pPr>
      <w:r>
        <w:t>1. 概要 (Overview)</w:t>
      </w:r>
    </w:p>
    <w:p>
      <w:r>
        <w:t>本仕様書は、次期バンキングシステムにおけるOAuth2 Authorization Code Flowを用いたユーザー認証機能の基本仕様を定義するものです。</w:t>
      </w:r>
    </w:p>
    <w:p>
      <w:pPr>
        <w:pStyle w:val="Heading1"/>
      </w:pPr>
      <w:r>
        <w:t>2. セキュリティ要件 (Security Requirements)</w:t>
      </w:r>
    </w:p>
    <w:p>
      <w:r>
        <w:t>・セッション有効期限は無操作後30分とします。</w:t>
        <w:br/>
      </w:r>
      <w:r>
        <w:t>・パスワード誤入力が連続5回発生した場合、アカウントを一時ロックします。</w:t>
        <w:br/>
      </w:r>
      <w:r>
        <w:t>・トークン更新時はリフレッシュトークンによるPKCE検証を必須とします。</w:t>
      </w:r>
    </w:p>
    <w:p>
      <w:pPr>
        <w:pStyle w:val="Heading1"/>
      </w:pPr>
      <w:r>
        <w:t>3. API一覧 (API List)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エンドポイント (Endpoint)</w:t>
            </w:r>
          </w:p>
        </w:tc>
        <w:tc>
          <w:tcPr>
            <w:tcW w:type="dxa" w:w="2880"/>
          </w:tcPr>
          <w:p>
            <w:r>
              <w:t>メソッド (Method)</w:t>
            </w:r>
          </w:p>
        </w:tc>
        <w:tc>
          <w:tcPr>
            <w:tcW w:type="dxa" w:w="2880"/>
          </w:tcPr>
          <w:p>
            <w:r>
              <w:t>概要 (Summary)</w:t>
            </w:r>
          </w:p>
        </w:tc>
      </w:tr>
      <w:tr>
        <w:tc>
          <w:tcPr>
            <w:tcW w:type="dxa" w:w="2880"/>
          </w:tcPr>
          <w:p>
            <w:r>
              <w:t>/api/v1/auth/login</w:t>
            </w:r>
          </w:p>
        </w:tc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ユーザーログイン及びトークン発行処理</w:t>
            </w:r>
          </w:p>
        </w:tc>
      </w:tr>
      <w:tr>
        <w:tc>
          <w:tcPr>
            <w:tcW w:type="dxa" w:w="2880"/>
          </w:tcPr>
          <w:p>
            <w:r>
              <w:t>/api/v1/auth/refresh</w:t>
            </w:r>
          </w:p>
        </w:tc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アクセストークンの再発行処理</w:t>
            </w:r>
          </w:p>
        </w:tc>
      </w:tr>
      <w:tr>
        <w:tc>
          <w:tcPr>
            <w:tcW w:type="dxa" w:w="2880"/>
          </w:tcPr>
          <w:p>
            <w:r>
              <w:t>/api/v1/auth/logout</w:t>
            </w:r>
          </w:p>
        </w:tc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セッション破棄及びログアウト処理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