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/>
          <w:b/>
          <w:color w:val="0F172A"/>
          <w:sz w:val="44"/>
        </w:rPr>
        <w:t>システムアーキテクチャ設計書</w:t>
      </w:r>
    </w:p>
    <w:p>
      <w:pPr>
        <w:jc w:val="center"/>
      </w:pPr>
      <w:r>
        <w:rPr>
          <w:rFonts w:ascii="Yu Gothic" w:hAnsi="Yu Gothic"/>
          <w:i/>
          <w:color w:val="64748B"/>
          <w:sz w:val="26"/>
        </w:rPr>
        <w:t>AI支援型ドキュメント自動翻訳プラットフォーム 仕様書（バージョン 2.1）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tcMar>
              <w:top w:w="120" w:type="dxa"/>
              <w:bottom w:w="120" w:type="dxa"/>
              <w:left w:w="160" w:type="dxa"/>
              <w:right w:w="160" w:type="dxa"/>
            </w:tcMar>
            <w:shd w:fill="1E3A8A"/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</w:rPr>
              <w:t>文書番号:</w:t>
            </w:r>
          </w:p>
        </w:tc>
        <w:tc>
          <w:tcPr>
            <w:tcW w:type="dxa" w:w="4680"/>
            <w:tcMar>
              <w:top w:w="120" w:type="dxa"/>
              <w:bottom w:w="120" w:type="dxa"/>
              <w:left w:w="160" w:type="dxa"/>
              <w:right w:w="160" w:type="dxa"/>
            </w:tcMar>
            <w:shd w:fill="1E3A8A"/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</w:rPr>
              <w:t>SYS-ARCH-2026-JA</w:t>
            </w:r>
          </w:p>
        </w:tc>
      </w:tr>
      <w:tr>
        <w:tc>
          <w:tcPr>
            <w:tcW w:type="dxa" w:w="4680"/>
            <w:tcMar>
              <w:top w:w="120" w:type="dxa"/>
              <w:bottom w:w="120" w:type="dxa"/>
              <w:left w:w="160" w:type="dxa"/>
              <w:right w:w="160" w:type="dxa"/>
            </w:tcMar>
            <w:shd w:fill="EFF6FF"/>
          </w:tcPr>
          <w:p>
            <w:r>
              <w:rPr>
                <w:rFonts w:ascii="Segoe UI" w:hAnsi="Segoe UI"/>
                <w:b/>
                <w:color w:val="334155"/>
                <w:sz w:val="19"/>
              </w:rPr>
              <w:t>作成部署:</w:t>
            </w:r>
          </w:p>
        </w:tc>
        <w:tc>
          <w:tcPr>
            <w:tcW w:type="dxa" w:w="4680"/>
            <w:tcMar>
              <w:top w:w="120" w:type="dxa"/>
              <w:bottom w:w="120" w:type="dxa"/>
              <w:left w:w="160" w:type="dxa"/>
              <w:right w:w="160" w:type="dxa"/>
            </w:tcMar>
            <w:shd w:fill="EFF6FF"/>
          </w:tcPr>
          <w:p>
            <w:r>
              <w:rPr>
                <w:rFonts w:ascii="Segoe UI" w:hAnsi="Segoe UI"/>
                <w:color w:val="334155"/>
                <w:sz w:val="19"/>
              </w:rPr>
              <w:t>技術基盤ソリューション開発部</w:t>
            </w:r>
          </w:p>
        </w:tc>
      </w:tr>
      <w:tr>
        <w:tc>
          <w:tcPr>
            <w:tcW w:type="dxa" w:w="4680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rFonts w:ascii="Segoe UI" w:hAnsi="Segoe UI"/>
                <w:b/>
                <w:color w:val="334155"/>
                <w:sz w:val="19"/>
              </w:rPr>
              <w:t>最終更新日:</w:t>
            </w:r>
          </w:p>
        </w:tc>
        <w:tc>
          <w:tcPr>
            <w:tcW w:type="dxa" w:w="4680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rFonts w:ascii="Segoe UI" w:hAnsi="Segoe UI"/>
                <w:color w:val="334155"/>
                <w:sz w:val="19"/>
              </w:rPr>
              <w:t>2026年9月4日</w:t>
            </w:r>
          </w:p>
        </w:tc>
      </w:tr>
      <w:tr>
        <w:tc>
          <w:tcPr>
            <w:tcW w:type="dxa" w:w="4680"/>
            <w:tcMar>
              <w:top w:w="120" w:type="dxa"/>
              <w:bottom w:w="120" w:type="dxa"/>
              <w:left w:w="160" w:type="dxa"/>
              <w:right w:w="160" w:type="dxa"/>
            </w:tcMar>
            <w:shd w:fill="EFF6FF"/>
          </w:tcPr>
          <w:p>
            <w:r>
              <w:rPr>
                <w:rFonts w:ascii="Segoe UI" w:hAnsi="Segoe UI"/>
                <w:b/>
                <w:color w:val="334155"/>
                <w:sz w:val="19"/>
              </w:rPr>
              <w:t>承認ステータス:</w:t>
            </w:r>
          </w:p>
        </w:tc>
        <w:tc>
          <w:tcPr>
            <w:tcW w:type="dxa" w:w="4680"/>
            <w:tcMar>
              <w:top w:w="120" w:type="dxa"/>
              <w:bottom w:w="120" w:type="dxa"/>
              <w:left w:w="160" w:type="dxa"/>
              <w:right w:w="160" w:type="dxa"/>
            </w:tcMar>
            <w:shd w:fill="EFF6FF"/>
          </w:tcPr>
          <w:p>
            <w:r>
              <w:rPr>
                <w:rFonts w:ascii="Segoe UI" w:hAnsi="Segoe UI"/>
                <w:color w:val="334155"/>
                <w:sz w:val="19"/>
              </w:rPr>
              <w:t>正式承認済み (Approved)</w:t>
            </w:r>
          </w:p>
        </w:tc>
      </w:tr>
    </w:tbl>
    <w:p/>
    <w:p>
      <w:pPr>
        <w:pStyle w:val="Heading1"/>
      </w:pPr>
      <w:r>
        <w:t>第1章 システム概要および目的</w:t>
      </w:r>
    </w:p>
    <w:p>
      <w:r>
        <w:t>本システム（AutomationTranslate）は、エンタープライズ環境における多言語仕様書、設計書、業務マニュアルの翻訳作業を自動化・効率化することを目的としています。従来の機械翻訳ツールとは異なり、文書構造の解析、表組みの完全保持、インライン図面や画像のレイアウト維持、および技術用語集（Glossary）の厳格な適用を実現しています。</w:t>
      </w:r>
    </w:p>
    <w:p>
      <w:pPr>
        <w:pStyle w:val="Heading1"/>
      </w:pPr>
      <w:r>
        <w:t>第2章 システム全体構成およびコンポーネント図</w:t>
      </w:r>
    </w:p>
    <w:p>
      <w:r>
        <w:t>本システムの全体構成は、マイクロサービスアーキテクチャを採用しており、各機能が疎結合に設計されています。以下の図2-1にクライアント層、APIゲートウェイ層、コアマイクロサービス群、および永続化データ層の連携関係を示します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8346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Yu Gothic" w:hAnsi="Yu Gothic"/>
          <w:b/>
          <w:i/>
          <w:color w:val="475569"/>
          <w:sz w:val="19"/>
        </w:rPr>
        <w:t>図 2-1: 全体システムアーキテクチャ概要図（コンポーネント連携フロー）</w:t>
      </w:r>
    </w:p>
    <w:p/>
    <w:p>
      <w:pPr>
        <w:pStyle w:val="Heading1"/>
      </w:pPr>
      <w:r>
        <w:t>第3章 主要コンポーネント仕様一覧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120" w:type="dxa"/>
              <w:bottom w:w="120" w:type="dxa"/>
              <w:left w:w="160" w:type="dxa"/>
              <w:right w:w="160" w:type="dxa"/>
            </w:tcMar>
            <w:shd w:fill="1E293B"/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</w:rPr>
              <w:t>コンポーネント名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60" w:type="dxa"/>
              <w:right w:w="160" w:type="dxa"/>
            </w:tcMar>
            <w:shd w:fill="1E293B"/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</w:rPr>
              <w:t>担当技術スタック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60" w:type="dxa"/>
              <w:right w:w="160" w:type="dxa"/>
            </w:tcMar>
            <w:shd w:fill="1E293B"/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</w:rPr>
              <w:t>主要責務・役割</w:t>
            </w:r>
          </w:p>
        </w:tc>
      </w:tr>
      <w:tr>
        <w:tc>
          <w:tcPr>
            <w:tcW w:type="dxa" w:w="3120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r>
              <w:rPr>
                <w:rFonts w:ascii="Segoe UI" w:hAnsi="Segoe UI"/>
                <w:color w:val="334155"/>
                <w:sz w:val="19"/>
              </w:rPr>
              <w:t>API Gateway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r>
              <w:rPr>
                <w:rFonts w:ascii="Segoe UI" w:hAnsi="Segoe UI"/>
                <w:color w:val="334155"/>
                <w:sz w:val="19"/>
              </w:rPr>
              <w:t>FastAPI / Nginx (HTTP/2, SSL)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r>
              <w:rPr>
                <w:rFonts w:ascii="Segoe UI" w:hAnsi="Segoe UI"/>
                <w:color w:val="334155"/>
                <w:sz w:val="19"/>
              </w:rPr>
              <w:t>認証トークン検証、レートリミット制御、リクエストルーティング</w:t>
            </w:r>
          </w:p>
        </w:tc>
      </w:tr>
      <w:tr>
        <w:tc>
          <w:tcPr>
            <w:tcW w:type="dxa" w:w="3120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rFonts w:ascii="Segoe UI" w:hAnsi="Segoe UI"/>
                <w:color w:val="334155"/>
                <w:sz w:val="19"/>
              </w:rPr>
              <w:t>Document Parser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rFonts w:ascii="Segoe UI" w:hAnsi="Segoe UI"/>
                <w:color w:val="334155"/>
                <w:sz w:val="19"/>
              </w:rPr>
              <w:t>python-docx / openpyxl / PyMuPDF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rFonts w:ascii="Segoe UI" w:hAnsi="Segoe UI"/>
                <w:color w:val="334155"/>
                <w:sz w:val="19"/>
              </w:rPr>
              <w:t>Word/Excel/PDFのテキスト抽出、段落単位のセグメンテーション、画像保持</w:t>
            </w:r>
          </w:p>
        </w:tc>
      </w:tr>
      <w:tr>
        <w:tc>
          <w:tcPr>
            <w:tcW w:type="dxa" w:w="3120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r>
              <w:rPr>
                <w:rFonts w:ascii="Segoe UI" w:hAnsi="Segoe UI"/>
                <w:color w:val="334155"/>
                <w:sz w:val="19"/>
              </w:rPr>
              <w:t>Translation Pipeline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r>
              <w:rPr>
                <w:rFonts w:ascii="Segoe UI" w:hAnsi="Segoe UI"/>
                <w:color w:val="334155"/>
                <w:sz w:val="19"/>
              </w:rPr>
              <w:t>Gemini 3.5 Flash-Lite / 3.6 Flash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r>
              <w:rPr>
                <w:rFonts w:ascii="Segoe UI" w:hAnsi="Segoe UI"/>
                <w:color w:val="334155"/>
                <w:sz w:val="19"/>
              </w:rPr>
              <w:t>高度なコンテキスト考慮翻訳、用語集保護トークンの置換</w:t>
            </w:r>
          </w:p>
        </w:tc>
      </w:tr>
      <w:tr>
        <w:tc>
          <w:tcPr>
            <w:tcW w:type="dxa" w:w="3120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rFonts w:ascii="Segoe UI" w:hAnsi="Segoe UI"/>
                <w:color w:val="334155"/>
                <w:sz w:val="19"/>
              </w:rPr>
              <w:t>QA Verification Checker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rFonts w:ascii="Segoe UI" w:hAnsi="Segoe UI"/>
                <w:color w:val="334155"/>
                <w:sz w:val="19"/>
              </w:rPr>
              <w:t>Rule Engine / Regex Guard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rFonts w:ascii="Segoe UI" w:hAnsi="Segoe UI"/>
                <w:color w:val="334155"/>
                <w:sz w:val="19"/>
              </w:rPr>
              <w:t>未復元トークン検出、文字数オーバーフロー検知、数式整合性チェック</w:t>
            </w:r>
          </w:p>
        </w:tc>
      </w:tr>
    </w:tbl>
    <w:p/>
    <w:p>
      <w:pPr>
        <w:pStyle w:val="Heading1"/>
      </w:pPr>
      <w:r>
        <w:t>第4章 非機能要件および品質基準</w:t>
      </w:r>
    </w:p>
    <w:p>
      <w:pPr>
        <w:pStyle w:val="ListBullet"/>
      </w:pPr>
      <w:r>
        <w:t>可用性要件: 稼働率 99.9% 以上を目標とし、冗長構成による無停止フェイルオーバーを保証すること。</w:t>
      </w:r>
    </w:p>
    <w:p>
      <w:pPr>
        <w:pStyle w:val="ListBullet"/>
      </w:pPr>
      <w:r>
        <w:t>処理性能要件: 50ページのWord文書（約15,000文字）を3分以内に高精度翻訳およびフォーマット再構築すること。</w:t>
      </w:r>
    </w:p>
    <w:p>
      <w:pPr>
        <w:pStyle w:val="ListBullet"/>
      </w:pPr>
      <w:r>
        <w:t>セキュリティ要件: 転送中および保存中のデータはすべてAES-256およびTLS 1.3により暗号化すること。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Yu Gothic" w:hAnsi="Yu Gothic"/>
      <w:b/>
      <w:bCs/>
      <w:color w:val="1E293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