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F172A"/>
          <w:sz w:val="44"/>
        </w:rPr>
        <w:t>HƯỚNG DẪN THIẾT KẾ KIẾN TRÚC MICROSERVICES</w:t>
      </w:r>
    </w:p>
    <w:p>
      <w:pPr>
        <w:jc w:val="center"/>
      </w:pPr>
      <w:r>
        <w:rPr>
          <w:rFonts w:ascii="Segoe UI" w:hAnsi="Segoe UI"/>
          <w:i/>
          <w:color w:val="64748B"/>
          <w:sz w:val="26"/>
        </w:rPr>
        <w:t>Quy trình Điều phối Luồng Dịch Bất đồng bộ và Bảo toàn Định dạng Tệp</w:t>
      </w:r>
    </w:p>
    <w:p/>
    <w:tbl>
      <w:tblPr>
        <w:tblW w:type="auto" w:w="0"/>
        <w:jc w:val="center"/>
        <w:tblLook w:firstColumn="1" w:firstRow="1" w:lastColumn="0" w:lastRow="0" w:noHBand="0" w:noVBand="1" w:val="04A0"/>
      </w:tblPr>
      <w:tblGrid>
        <w:gridCol w:w="4680"/>
        <w:gridCol w:w="4680"/>
      </w:tblGrid>
      <w:tr>
        <w:tc>
          <w:tcPr>
            <w:tcW w:type="dxa" w:w="4680"/>
            <w:tcMar>
              <w:top w:w="120" w:type="dxa"/>
              <w:bottom w:w="120" w:type="dxa"/>
              <w:left w:w="160" w:type="dxa"/>
              <w:right w:w="160" w:type="dxa"/>
            </w:tcMar>
            <w:shd w:fill="047857"/>
          </w:tcPr>
          <w:p>
            <w:pPr>
              <w:jc w:val="left"/>
            </w:pPr>
            <w:r>
              <w:rPr>
                <w:rFonts w:ascii="Segoe UI" w:hAnsi="Segoe UI"/>
                <w:b/>
                <w:color w:val="FFFFFF"/>
              </w:rPr>
              <w:t>Mã tài liệu hướng dẫn:</w:t>
            </w:r>
          </w:p>
        </w:tc>
        <w:tc>
          <w:tcPr>
            <w:tcW w:type="dxa" w:w="4680"/>
            <w:tcMar>
              <w:top w:w="120" w:type="dxa"/>
              <w:bottom w:w="120" w:type="dxa"/>
              <w:left w:w="160" w:type="dxa"/>
              <w:right w:w="160" w:type="dxa"/>
            </w:tcMar>
            <w:shd w:fill="047857"/>
          </w:tcPr>
          <w:p>
            <w:pPr>
              <w:jc w:val="left"/>
            </w:pPr>
            <w:r>
              <w:rPr>
                <w:rFonts w:ascii="Segoe UI" w:hAnsi="Segoe UI"/>
                <w:b/>
                <w:color w:val="FFFFFF"/>
              </w:rPr>
              <w:t>GUIDE-ARCH-VI-003</w:t>
            </w:r>
          </w:p>
        </w:tc>
      </w:tr>
      <w:tr>
        <w:tc>
          <w:tcPr>
            <w:tcW w:type="dxa" w:w="4680"/>
            <w:tcMar>
              <w:top w:w="120" w:type="dxa"/>
              <w:bottom w:w="120" w:type="dxa"/>
              <w:left w:w="160" w:type="dxa"/>
              <w:right w:w="160" w:type="dxa"/>
            </w:tcMar>
            <w:shd w:fill="ECFDF5"/>
          </w:tcPr>
          <w:p>
            <w:r>
              <w:rPr>
                <w:rFonts w:ascii="Segoe UI" w:hAnsi="Segoe UI"/>
                <w:b/>
                <w:color w:val="334155"/>
                <w:sz w:val="19"/>
              </w:rPr>
              <w:t>Đối tượng áp dụng:</w:t>
            </w:r>
          </w:p>
        </w:tc>
        <w:tc>
          <w:tcPr>
            <w:tcW w:type="dxa" w:w="4680"/>
            <w:tcMar>
              <w:top w:w="120" w:type="dxa"/>
              <w:bottom w:w="120" w:type="dxa"/>
              <w:left w:w="160" w:type="dxa"/>
              <w:right w:w="160" w:type="dxa"/>
            </w:tcMar>
            <w:shd w:fill="ECFDF5"/>
          </w:tcPr>
          <w:p>
            <w:r>
              <w:rPr>
                <w:rFonts w:ascii="Segoe UI" w:hAnsi="Segoe UI"/>
                <w:color w:val="334155"/>
                <w:sz w:val="19"/>
              </w:rPr>
              <w:t>Đội ngũ Kỹ sư Phát triển &amp; Comtor IT</w:t>
            </w:r>
          </w:p>
        </w:tc>
      </w:tr>
      <w:tr>
        <w:tc>
          <w:tcPr>
            <w:tcW w:type="dxa" w:w="4680"/>
            <w:tcMar>
              <w:top w:w="120" w:type="dxa"/>
              <w:bottom w:w="120" w:type="dxa"/>
              <w:left w:w="160" w:type="dxa"/>
              <w:right w:w="160" w:type="dxa"/>
            </w:tcMar>
          </w:tcPr>
          <w:p>
            <w:r>
              <w:rPr>
                <w:rFonts w:ascii="Segoe UI" w:hAnsi="Segoe UI"/>
                <w:b/>
                <w:color w:val="334155"/>
                <w:sz w:val="19"/>
              </w:rPr>
              <w:t>Phiên bản phát hành:</w:t>
            </w:r>
          </w:p>
        </w:tc>
        <w:tc>
          <w:tcPr>
            <w:tcW w:type="dxa" w:w="4680"/>
            <w:tcMar>
              <w:top w:w="120" w:type="dxa"/>
              <w:bottom w:w="120" w:type="dxa"/>
              <w:left w:w="160" w:type="dxa"/>
              <w:right w:w="160" w:type="dxa"/>
            </w:tcMar>
          </w:tcPr>
          <w:p>
            <w:r>
              <w:rPr>
                <w:rFonts w:ascii="Segoe UI" w:hAnsi="Segoe UI"/>
                <w:color w:val="334155"/>
                <w:sz w:val="19"/>
              </w:rPr>
              <w:t>v3.0.4 (Cập nhật Gemini 3.5)</w:t>
            </w:r>
          </w:p>
        </w:tc>
      </w:tr>
      <w:tr>
        <w:tc>
          <w:tcPr>
            <w:tcW w:type="dxa" w:w="4680"/>
            <w:tcMar>
              <w:top w:w="120" w:type="dxa"/>
              <w:bottom w:w="120" w:type="dxa"/>
              <w:left w:w="160" w:type="dxa"/>
              <w:right w:w="160" w:type="dxa"/>
            </w:tcMar>
            <w:shd w:fill="ECFDF5"/>
          </w:tcPr>
          <w:p>
            <w:r>
              <w:rPr>
                <w:rFonts w:ascii="Segoe UI" w:hAnsi="Segoe UI"/>
                <w:b/>
                <w:color w:val="334155"/>
                <w:sz w:val="19"/>
              </w:rPr>
              <w:t>Ngày kiểm duyệt:</w:t>
            </w:r>
          </w:p>
        </w:tc>
        <w:tc>
          <w:tcPr>
            <w:tcW w:type="dxa" w:w="4680"/>
            <w:tcMar>
              <w:top w:w="120" w:type="dxa"/>
              <w:bottom w:w="120" w:type="dxa"/>
              <w:left w:w="160" w:type="dxa"/>
              <w:right w:w="160" w:type="dxa"/>
            </w:tcMar>
            <w:shd w:fill="ECFDF5"/>
          </w:tcPr>
          <w:p>
            <w:r>
              <w:rPr>
                <w:rFonts w:ascii="Segoe UI" w:hAnsi="Segoe UI"/>
                <w:color w:val="334155"/>
                <w:sz w:val="19"/>
              </w:rPr>
              <w:t>04/09/2026</w:t>
            </w:r>
          </w:p>
        </w:tc>
      </w:tr>
    </w:tbl>
    <w:p/>
    <w:p>
      <w:pPr>
        <w:pStyle w:val="Heading1"/>
      </w:pPr>
      <w:r>
        <w:t>1. Giới thiệu tổng quan quy trình xử lý dữ liệu</w:t>
      </w:r>
    </w:p>
    <w:p>
      <w:r>
        <w:t>Trong kiến trúc hệ thống dịch thuật tự động, việc bảo đảm tính toàn vẹn của tệp tài liệu gốc đòi hỏi quy trình phân tách thành nhiều giai đoạn độc lập. Mỗi giai đoạn chịu trách nhiệm xử lý một nhiệm vụ chuyên biệt nhằm tối ưu hóa hiệu năng, giảm thiểu tắc nghẽn I/O và đảm bảo khả năng mở rộng ngang (Horizontal Scaling).</w:t>
      </w:r>
    </w:p>
    <w:p>
      <w:pPr>
        <w:pStyle w:val="Heading1"/>
      </w:pPr>
      <w:r>
        <w:t>2. Sơ đồ luồng xử lý dịch thuật bất đồng bộ (Pipeline Flowchart)</w:t>
      </w:r>
    </w:p>
    <w:p>
      <w:r>
        <w:t>Dưới đây là sơ đồ 5 giai đoạn cốt lõi của tiến trình xử lý từ khi người dùng tải tệp tin lên cho đến khi tệp dịch hoàn tất được kết xuất và sẵn sàng lưu vào thư mục máy trạm.</w:t>
      </w:r>
    </w:p>
    <w:p>
      <w:pPr>
        <w:jc w:val="center"/>
      </w:pPr>
      <w:r>
        <w:drawing>
          <wp:inline xmlns:a="http://schemas.openxmlformats.org/drawingml/2006/main" xmlns:pic="http://schemas.openxmlformats.org/drawingml/2006/picture">
            <wp:extent cx="5669280" cy="2598420"/>
            <wp:docPr id="1" name="Picture 1"/>
            <wp:cNvGraphicFramePr>
              <a:graphicFrameLocks noChangeAspect="1"/>
            </wp:cNvGraphicFramePr>
            <a:graphic>
              <a:graphicData uri="http://schemas.openxmlformats.org/drawingml/2006/picture">
                <pic:pic>
                  <pic:nvPicPr>
                    <pic:cNvPr id="0" name="flow_diagram.png"/>
                    <pic:cNvPicPr/>
                  </pic:nvPicPr>
                  <pic:blipFill>
                    <a:blip r:embed="rId9"/>
                    <a:stretch>
                      <a:fillRect/>
                    </a:stretch>
                  </pic:blipFill>
                  <pic:spPr>
                    <a:xfrm>
                      <a:off x="0" y="0"/>
                      <a:ext cx="5669280" cy="2598420"/>
                    </a:xfrm>
                    <a:prstGeom prst="rect"/>
                  </pic:spPr>
                </pic:pic>
              </a:graphicData>
            </a:graphic>
          </wp:inline>
        </w:drawing>
      </w:r>
    </w:p>
    <w:p>
      <w:pPr>
        <w:jc w:val="center"/>
      </w:pPr>
      <w:r>
        <w:rPr>
          <w:rFonts w:ascii="Segoe UI" w:hAnsi="Segoe UI"/>
          <w:b/>
          <w:i/>
          <w:color w:val="475569"/>
          <w:sz w:val="19"/>
        </w:rPr>
        <w:t>Hình 1: Sơ đồ 5 bước quy trình dịch thuật bất đồng bộ và kiểm định chất lượng QA</w:t>
      </w:r>
    </w:p>
    <w:p/>
    <w:p>
      <w:pPr>
        <w:pStyle w:val="Heading1"/>
      </w:pPr>
      <w:r>
        <w:t>3. Chi tiết các bước và thông số cấu hình</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60" w:type="dxa"/>
              <w:right w:w="160" w:type="dxa"/>
            </w:tcMar>
            <w:shd w:fill="065F46"/>
          </w:tcPr>
          <w:p>
            <w:pPr>
              <w:jc w:val="left"/>
            </w:pPr>
            <w:r>
              <w:rPr>
                <w:rFonts w:ascii="Segoe UI" w:hAnsi="Segoe UI"/>
                <w:b/>
                <w:color w:val="FFFFFF"/>
              </w:rPr>
              <w:t>Bước</w:t>
            </w:r>
          </w:p>
        </w:tc>
        <w:tc>
          <w:tcPr>
            <w:tcW w:type="dxa" w:w="3120"/>
            <w:tcMar>
              <w:top w:w="120" w:type="dxa"/>
              <w:bottom w:w="120" w:type="dxa"/>
              <w:left w:w="160" w:type="dxa"/>
              <w:right w:w="160" w:type="dxa"/>
            </w:tcMar>
            <w:shd w:fill="065F46"/>
          </w:tcPr>
          <w:p>
            <w:pPr>
              <w:jc w:val="left"/>
            </w:pPr>
            <w:r>
              <w:rPr>
                <w:rFonts w:ascii="Segoe UI" w:hAnsi="Segoe UI"/>
                <w:b/>
                <w:color w:val="FFFFFF"/>
              </w:rPr>
              <w:t>Tên quy trình</w:t>
            </w:r>
          </w:p>
        </w:tc>
        <w:tc>
          <w:tcPr>
            <w:tcW w:type="dxa" w:w="3120"/>
            <w:tcMar>
              <w:top w:w="120" w:type="dxa"/>
              <w:bottom w:w="120" w:type="dxa"/>
              <w:left w:w="160" w:type="dxa"/>
              <w:right w:w="160" w:type="dxa"/>
            </w:tcMar>
            <w:shd w:fill="065F46"/>
          </w:tcPr>
          <w:p>
            <w:pPr>
              <w:jc w:val="left"/>
            </w:pPr>
            <w:r>
              <w:rPr>
                <w:rFonts w:ascii="Segoe UI" w:hAnsi="Segoe UI"/>
                <w:b/>
                <w:color w:val="FFFFFF"/>
              </w:rPr>
              <w:t>Nhiệm vụ trọng tâm và tiêu chí hoàn thành</w:t>
            </w:r>
          </w:p>
        </w:tc>
      </w:tr>
      <w:tr>
        <w:tc>
          <w:tcPr>
            <w:tcW w:type="dxa" w:w="3120"/>
            <w:tcMar>
              <w:top w:w="120" w:type="dxa"/>
              <w:bottom w:w="120" w:type="dxa"/>
              <w:left w:w="160" w:type="dxa"/>
              <w:right w:w="160" w:type="dxa"/>
            </w:tcMar>
            <w:shd w:fill="F0FDF4"/>
          </w:tcPr>
          <w:p>
            <w:r>
              <w:rPr>
                <w:rFonts w:ascii="Segoe UI" w:hAnsi="Segoe UI"/>
                <w:b/>
                <w:color w:val="334155"/>
                <w:sz w:val="19"/>
              </w:rPr>
              <w:t>Bước 1</w:t>
            </w:r>
          </w:p>
        </w:tc>
        <w:tc>
          <w:tcPr>
            <w:tcW w:type="dxa" w:w="3120"/>
            <w:tcMar>
              <w:top w:w="120" w:type="dxa"/>
              <w:bottom w:w="120" w:type="dxa"/>
              <w:left w:w="160" w:type="dxa"/>
              <w:right w:w="160" w:type="dxa"/>
            </w:tcMar>
            <w:shd w:fill="F0FDF4"/>
          </w:tcPr>
          <w:p>
            <w:r>
              <w:rPr>
                <w:rFonts w:ascii="Segoe UI" w:hAnsi="Segoe UI"/>
                <w:color w:val="334155"/>
                <w:sz w:val="19"/>
              </w:rPr>
              <w:t>Upload &amp; Phân tích cấu trúc</w:t>
            </w:r>
          </w:p>
        </w:tc>
        <w:tc>
          <w:tcPr>
            <w:tcW w:type="dxa" w:w="3120"/>
            <w:tcMar>
              <w:top w:w="120" w:type="dxa"/>
              <w:bottom w:w="120" w:type="dxa"/>
              <w:left w:w="160" w:type="dxa"/>
              <w:right w:w="160" w:type="dxa"/>
            </w:tcMar>
            <w:shd w:fill="F0FDF4"/>
          </w:tcPr>
          <w:p>
            <w:r>
              <w:rPr>
                <w:rFonts w:ascii="Segoe UI" w:hAnsi="Segoe UI"/>
                <w:color w:val="334155"/>
                <w:sz w:val="19"/>
              </w:rPr>
              <w:t>Nhận tệp Word/Excel, bóc tách cấu trúc đoạn (Paragraphs), bảng (Tables) và lưu trữ vị trí hình ảnh.</w:t>
            </w:r>
          </w:p>
        </w:tc>
      </w:tr>
      <w:tr>
        <w:tc>
          <w:tcPr>
            <w:tcW w:type="dxa" w:w="3120"/>
            <w:tcMar>
              <w:top w:w="120" w:type="dxa"/>
              <w:bottom w:w="120" w:type="dxa"/>
              <w:left w:w="160" w:type="dxa"/>
              <w:right w:w="160" w:type="dxa"/>
            </w:tcMar>
          </w:tcPr>
          <w:p>
            <w:r>
              <w:rPr>
                <w:rFonts w:ascii="Segoe UI" w:hAnsi="Segoe UI"/>
                <w:b/>
                <w:color w:val="334155"/>
                <w:sz w:val="19"/>
              </w:rPr>
              <w:t>Bước 2</w:t>
            </w:r>
          </w:p>
        </w:tc>
        <w:tc>
          <w:tcPr>
            <w:tcW w:type="dxa" w:w="3120"/>
            <w:tcMar>
              <w:top w:w="120" w:type="dxa"/>
              <w:bottom w:w="120" w:type="dxa"/>
              <w:left w:w="160" w:type="dxa"/>
              <w:right w:w="160" w:type="dxa"/>
            </w:tcMar>
          </w:tcPr>
          <w:p>
            <w:r>
              <w:rPr>
                <w:rFonts w:ascii="Segoe UI" w:hAnsi="Segoe UI"/>
                <w:color w:val="334155"/>
                <w:sz w:val="19"/>
              </w:rPr>
              <w:t>Bảo vệ Token &amp; Biến kỹ thuật</w:t>
            </w:r>
          </w:p>
        </w:tc>
        <w:tc>
          <w:tcPr>
            <w:tcW w:type="dxa" w:w="3120"/>
            <w:tcMar>
              <w:top w:w="120" w:type="dxa"/>
              <w:bottom w:w="120" w:type="dxa"/>
              <w:left w:w="160" w:type="dxa"/>
              <w:right w:w="160" w:type="dxa"/>
            </w:tcMar>
          </w:tcPr>
          <w:p>
            <w:r>
              <w:rPr>
                <w:rFonts w:ascii="Segoe UI" w:hAnsi="Segoe UI"/>
                <w:color w:val="334155"/>
                <w:sz w:val="19"/>
              </w:rPr>
              <w:t>Áp dụng TokenProtector mã hóa các API Endpoint, URL, biến mã nguồn thành chuỗi ký hiệu an toàn.</w:t>
            </w:r>
          </w:p>
        </w:tc>
      </w:tr>
      <w:tr>
        <w:tc>
          <w:tcPr>
            <w:tcW w:type="dxa" w:w="3120"/>
            <w:tcMar>
              <w:top w:w="120" w:type="dxa"/>
              <w:bottom w:w="120" w:type="dxa"/>
              <w:left w:w="160" w:type="dxa"/>
              <w:right w:w="160" w:type="dxa"/>
            </w:tcMar>
            <w:shd w:fill="F0FDF4"/>
          </w:tcPr>
          <w:p>
            <w:r>
              <w:rPr>
                <w:rFonts w:ascii="Segoe UI" w:hAnsi="Segoe UI"/>
                <w:b/>
                <w:color w:val="334155"/>
                <w:sz w:val="19"/>
              </w:rPr>
              <w:t>Bước 3</w:t>
            </w:r>
          </w:p>
        </w:tc>
        <w:tc>
          <w:tcPr>
            <w:tcW w:type="dxa" w:w="3120"/>
            <w:tcMar>
              <w:top w:w="120" w:type="dxa"/>
              <w:bottom w:w="120" w:type="dxa"/>
              <w:left w:w="160" w:type="dxa"/>
              <w:right w:w="160" w:type="dxa"/>
            </w:tcMar>
            <w:shd w:fill="F0FDF4"/>
          </w:tcPr>
          <w:p>
            <w:r>
              <w:rPr>
                <w:rFonts w:ascii="Segoe UI" w:hAnsi="Segoe UI"/>
                <w:color w:val="334155"/>
                <w:sz w:val="19"/>
              </w:rPr>
              <w:t>Dịch thuật AI với Gemini 3.5</w:t>
            </w:r>
          </w:p>
        </w:tc>
        <w:tc>
          <w:tcPr>
            <w:tcW w:type="dxa" w:w="3120"/>
            <w:tcMar>
              <w:top w:w="120" w:type="dxa"/>
              <w:bottom w:w="120" w:type="dxa"/>
              <w:left w:w="160" w:type="dxa"/>
              <w:right w:w="160" w:type="dxa"/>
            </w:tcMar>
            <w:shd w:fill="F0FDF4"/>
          </w:tcPr>
          <w:p>
            <w:r>
              <w:rPr>
                <w:rFonts w:ascii="Segoe UI" w:hAnsi="Segoe UI"/>
                <w:color w:val="334155"/>
                <w:sz w:val="19"/>
              </w:rPr>
              <w:t>Gửi các khối văn bản (15 segments/lần) kèm theo bảng thuật ngữ Glossary để dịch chính xác.</w:t>
            </w:r>
          </w:p>
        </w:tc>
      </w:tr>
      <w:tr>
        <w:tc>
          <w:tcPr>
            <w:tcW w:type="dxa" w:w="3120"/>
            <w:tcMar>
              <w:top w:w="120" w:type="dxa"/>
              <w:bottom w:w="120" w:type="dxa"/>
              <w:left w:w="160" w:type="dxa"/>
              <w:right w:w="160" w:type="dxa"/>
            </w:tcMar>
          </w:tcPr>
          <w:p>
            <w:r>
              <w:rPr>
                <w:rFonts w:ascii="Segoe UI" w:hAnsi="Segoe UI"/>
                <w:b/>
                <w:color w:val="334155"/>
                <w:sz w:val="19"/>
              </w:rPr>
              <w:t>Bước 4</w:t>
            </w:r>
          </w:p>
        </w:tc>
        <w:tc>
          <w:tcPr>
            <w:tcW w:type="dxa" w:w="3120"/>
            <w:tcMar>
              <w:top w:w="120" w:type="dxa"/>
              <w:bottom w:w="120" w:type="dxa"/>
              <w:left w:w="160" w:type="dxa"/>
              <w:right w:w="160" w:type="dxa"/>
            </w:tcMar>
          </w:tcPr>
          <w:p>
            <w:r>
              <w:rPr>
                <w:rFonts w:ascii="Segoe UI" w:hAnsi="Segoe UI"/>
                <w:color w:val="334155"/>
                <w:sz w:val="19"/>
              </w:rPr>
              <w:t>Kiểm định chất lượng QA</w:t>
            </w:r>
          </w:p>
        </w:tc>
        <w:tc>
          <w:tcPr>
            <w:tcW w:type="dxa" w:w="3120"/>
            <w:tcMar>
              <w:top w:w="120" w:type="dxa"/>
              <w:bottom w:w="120" w:type="dxa"/>
              <w:left w:w="160" w:type="dxa"/>
              <w:right w:w="160" w:type="dxa"/>
            </w:tcMar>
          </w:tcPr>
          <w:p>
            <w:r>
              <w:rPr>
                <w:rFonts w:ascii="Segoe UI" w:hAnsi="Segoe UI"/>
                <w:color w:val="334155"/>
                <w:sz w:val="19"/>
              </w:rPr>
              <w:t>Phát hiện lỗi tràn chữ, kiểm tra phục hồi 100% token kỹ thuật và bảo toàn công thức toán học.</w:t>
            </w:r>
          </w:p>
        </w:tc>
      </w:tr>
      <w:tr>
        <w:tc>
          <w:tcPr>
            <w:tcW w:type="dxa" w:w="3120"/>
            <w:tcMar>
              <w:top w:w="120" w:type="dxa"/>
              <w:bottom w:w="120" w:type="dxa"/>
              <w:left w:w="160" w:type="dxa"/>
              <w:right w:w="160" w:type="dxa"/>
            </w:tcMar>
            <w:shd w:fill="F0FDF4"/>
          </w:tcPr>
          <w:p>
            <w:r>
              <w:rPr>
                <w:rFonts w:ascii="Segoe UI" w:hAnsi="Segoe UI"/>
                <w:b/>
                <w:color w:val="334155"/>
                <w:sz w:val="19"/>
              </w:rPr>
              <w:t>Bước 5</w:t>
            </w:r>
          </w:p>
        </w:tc>
        <w:tc>
          <w:tcPr>
            <w:tcW w:type="dxa" w:w="3120"/>
            <w:tcMar>
              <w:top w:w="120" w:type="dxa"/>
              <w:bottom w:w="120" w:type="dxa"/>
              <w:left w:w="160" w:type="dxa"/>
              <w:right w:w="160" w:type="dxa"/>
            </w:tcMar>
            <w:shd w:fill="F0FDF4"/>
          </w:tcPr>
          <w:p>
            <w:r>
              <w:rPr>
                <w:rFonts w:ascii="Segoe UI" w:hAnsi="Segoe UI"/>
                <w:color w:val="334155"/>
                <w:sz w:val="19"/>
              </w:rPr>
              <w:t>Kết xuất văn bản đầu ra (Render)</w:t>
            </w:r>
          </w:p>
        </w:tc>
        <w:tc>
          <w:tcPr>
            <w:tcW w:type="dxa" w:w="3120"/>
            <w:tcMar>
              <w:top w:w="120" w:type="dxa"/>
              <w:bottom w:w="120" w:type="dxa"/>
              <w:left w:w="160" w:type="dxa"/>
              <w:right w:w="160" w:type="dxa"/>
            </w:tcMar>
            <w:shd w:fill="F0FDF4"/>
          </w:tcPr>
          <w:p>
            <w:r>
              <w:rPr>
                <w:rFonts w:ascii="Segoe UI" w:hAnsi="Segoe UI"/>
                <w:color w:val="334155"/>
                <w:sz w:val="19"/>
              </w:rPr>
              <w:t>Ghi nội dung dịch vào file mẫu gốc, giữ nguyên tỷ lệ hình ảnh, font chữ và phong cách trình bày.</w:t>
            </w:r>
          </w:p>
        </w:tc>
      </w:tr>
    </w:tbl>
    <w:p/>
    <w:p>
      <w:pPr>
        <w:pStyle w:val="Heading1"/>
      </w:pPr>
      <w:r>
        <w:t>4. Hướng dẫn sử dụng và khuyến nghị dành cho Comtor</w:t>
      </w:r>
    </w:p>
    <w:p>
      <w:pPr>
        <w:pStyle w:val="ListBullet"/>
      </w:pPr>
      <w:r>
        <w:t>Trước khi dịch các tài liệu dự án lớn, nên cập nhật trước các thuật ngữ chuyên ngành vào trang Quản lý Thuật ngữ (Glossary).</w:t>
      </w:r>
    </w:p>
    <w:p>
      <w:pPr>
        <w:pStyle w:val="ListBullet"/>
      </w:pPr>
      <w:r>
        <w:t>Có thể chỉ định thư mục lưu trữ riêng (Custom Output Directory) trên giao diện để tự động gom nhóm các tệp dịch vào thư mục dự án trên máy.</w:t>
      </w:r>
    </w:p>
    <w:p>
      <w:pPr>
        <w:pStyle w:val="ListBullet"/>
      </w:pPr>
      <w:r>
        <w:t>Sử dụng tính năng 'Review &amp; Edit' để rà soát các cảnh báo QA trước khi bàn giao tài liệu cho khách hàng hoặc đội ngũ phát triển.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