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28"/>
          <w:szCs w:val="28"/>
        </w:rPr>
        <w:t xml:space="preserve">NGÂN HÀNG TMCP PHÁT TRIỂN VIỆT NAM</w:t>
      </w:r>
    </w:p>
    <w:p>
      <w:pPr>
        <w:spacing w:after="480" w:before="0"/>
        <w:jc w:val="center"/>
      </w:pPr>
      <w:r>
        <w:rPr>
          <w:rFonts w:ascii="Arial" w:cs="Arial" w:eastAsia="Arial" w:hAnsi="Arial"/>
          <w:i/>
          <w:iCs/>
          <w:color w:val="888888"/>
          <w:sz w:val="22"/>
          <w:szCs w:val="22"/>
        </w:rPr>
        <w:t xml:space="preserve">Vietnam Development Commercial Bank</w:t>
      </w:r>
    </w:p>
    <w:p>
      <w:pPr>
        <w:pBdr>
          <w:bottom w:val="single" w:color="2E75B6" w:sz="6" w:space="1"/>
        </w:pBdr>
        <w:spacing w:after="120" w:before="0"/>
        <w:jc w:val="center"/>
      </w:pPr>
      <w:r>
        <w:rPr>
          <w:rFonts w:ascii="Arial" w:cs="Arial" w:eastAsia="Arial" w:hAnsi="Arial"/>
          <w:b/>
          <w:bCs/>
          <w:color w:val="1F4E79"/>
          <w:sz w:val="40"/>
          <w:szCs w:val="40"/>
        </w:rPr>
        <w:t xml:space="preserve">CHÍNH SÁCH CHO VAY CÁ NHÂN</w:t>
      </w:r>
    </w:p>
    <w:p>
      <w:pPr>
        <w:spacing w:after="600" w:before="120"/>
        <w:jc w:val="center"/>
      </w:pPr>
      <w:r>
        <w:rPr>
          <w:rFonts w:ascii="Arial" w:cs="Arial" w:eastAsia="Arial" w:hAnsi="Arial"/>
          <w:color w:val="666666"/>
          <w:sz w:val="20"/>
          <w:szCs w:val="20"/>
        </w:rPr>
        <w:t xml:space="preserve">Mã tài liệu: VDB-LOAN-001  |  Phiên bản: 2.1  |  Ngày hiệu lực: 01/01/2024</w:t>
      </w:r>
    </w:p>
    <w:p>
      <w:pPr>
        <w:pStyle w:val="Heading1"/>
        <w:spacing w:after="180" w:before="360"/>
      </w:pPr>
      <w:r>
        <w:rPr>
          <w:rFonts w:ascii="Arial" w:cs="Arial" w:eastAsia="Arial" w:hAnsi="Arial"/>
          <w:b/>
          <w:bCs/>
          <w:sz w:val="32"/>
          <w:szCs w:val="32"/>
        </w:rPr>
        <w:t xml:space="preserve">1. MỤC ĐÍCH VÀ PHẠM VI ÁP DỤNG</w:t>
      </w:r>
    </w:p>
    <w:p>
      <w:pPr>
        <w:spacing w:after="60" w:before="60"/>
      </w:pPr>
      <w:r>
        <w:rPr>
          <w:rFonts w:ascii="Arial" w:cs="Arial" w:eastAsia="Arial" w:hAnsi="Arial"/>
          <w:sz w:val="24"/>
          <w:szCs w:val="24"/>
        </w:rPr>
        <w:t xml:space="preserve">Chính sách này quy định các điều kiện, quy trình và giới hạn cho vay tiêu dùng và tín dụng cá nhân tại Ngân hàng TMCP Phát triển Việt Nam (VDB). Tài liệu áp dụng cho toàn bộ cán bộ tín dụng, phòng thẩm định và ban lãnh đạo liên quan.</w:t>
      </w:r>
    </w:p>
    <w:p>
      <w:pPr>
        <w:spacing w:after="60" w:before="60"/>
      </w:pPr>
      <w:r>
        <w:rPr>
          <w:rFonts w:ascii="Arial" w:cs="Arial" w:eastAsia="Arial" w:hAnsi="Arial"/>
          <w:sz w:val="24"/>
          <w:szCs w:val="24"/>
        </w:rPr>
        <w:t xml:space="preserve">Phạm vi: Cho vay tín chấp cá nhân, cho vay thế chấp bất động sản, cho vay mua xe, cho vay du học.</w:t>
      </w:r>
    </w:p>
    <w:p>
      <w:pPr>
        <w:pStyle w:val="Heading1"/>
        <w:spacing w:after="180" w:before="360"/>
      </w:pPr>
      <w:r>
        <w:rPr>
          <w:rFonts w:ascii="Arial" w:cs="Arial" w:eastAsia="Arial" w:hAnsi="Arial"/>
          <w:b/>
          <w:bCs/>
          <w:sz w:val="32"/>
          <w:szCs w:val="32"/>
        </w:rPr>
        <w:t xml:space="preserve">2. ĐIỀU KIỆN VAY</w:t>
      </w:r>
    </w:p>
    <w:p>
      <w:pPr>
        <w:pStyle w:val="Heading2"/>
        <w:spacing w:after="120" w:before="240"/>
      </w:pPr>
      <w:r>
        <w:rPr>
          <w:rFonts w:ascii="Arial" w:cs="Arial" w:eastAsia="Arial" w:hAnsi="Arial"/>
          <w:b/>
          <w:bCs/>
          <w:sz w:val="28"/>
          <w:szCs w:val="28"/>
        </w:rPr>
        <w:t xml:space="preserve">2.1. Điều kiện về nhân thân</w:t>
      </w:r>
    </w:p>
    <w:p>
      <w:pPr>
        <w:pStyle w:val="ListParagraph"/>
        <w:numPr>
          <w:ilvl w:val="0"/>
          <w:numId w:val="2"/>
        </w:numPr>
        <w:spacing w:after="40" w:before="40"/>
      </w:pPr>
      <w:r>
        <w:rPr>
          <w:rFonts w:ascii="Arial" w:cs="Arial" w:eastAsia="Arial" w:hAnsi="Arial"/>
          <w:sz w:val="24"/>
          <w:szCs w:val="24"/>
        </w:rPr>
        <w:t xml:space="preserve">Quốc tịch Việt Nam hoặc người nước ngoài cư trú hợp pháp tại Việt Nam</w:t>
      </w:r>
    </w:p>
    <w:p>
      <w:pPr>
        <w:pStyle w:val="ListParagraph"/>
        <w:numPr>
          <w:ilvl w:val="0"/>
          <w:numId w:val="2"/>
        </w:numPr>
        <w:spacing w:after="40" w:before="40"/>
      </w:pPr>
      <w:r>
        <w:rPr>
          <w:rFonts w:ascii="Arial" w:cs="Arial" w:eastAsia="Arial" w:hAnsi="Arial"/>
          <w:sz w:val="24"/>
          <w:szCs w:val="24"/>
        </w:rPr>
        <w:t xml:space="preserve">Độ tuổi: từ 22 đến 60 tuổi tại thời điểm vay; không quá 65 tuổi tại thời điểm đáo hạn</w:t>
      </w:r>
    </w:p>
    <w:p>
      <w:pPr>
        <w:pStyle w:val="ListParagraph"/>
        <w:numPr>
          <w:ilvl w:val="0"/>
          <w:numId w:val="2"/>
        </w:numPr>
        <w:spacing w:after="40" w:before="40"/>
      </w:pPr>
      <w:r>
        <w:rPr>
          <w:rFonts w:ascii="Arial" w:cs="Arial" w:eastAsia="Arial" w:hAnsi="Arial"/>
          <w:sz w:val="24"/>
          <w:szCs w:val="24"/>
        </w:rPr>
        <w:t xml:space="preserve">CCCD/CMND còn hiệu lực, không thuộc danh sách cấm tín dụng của NHNN</w:t>
      </w:r>
    </w:p>
    <w:p>
      <w:pPr>
        <w:pStyle w:val="ListParagraph"/>
        <w:numPr>
          <w:ilvl w:val="0"/>
          <w:numId w:val="2"/>
        </w:numPr>
        <w:spacing w:after="40" w:before="40"/>
      </w:pPr>
      <w:r>
        <w:rPr>
          <w:rFonts w:ascii="Arial" w:cs="Arial" w:eastAsia="Arial" w:hAnsi="Arial"/>
          <w:sz w:val="24"/>
          <w:szCs w:val="24"/>
        </w:rPr>
        <w:t xml:space="preserve">Không có nợ xấu nhóm 3, 4, 5 tại bất kỳ tổ chức tín dụng nào trong 12 tháng gần nhất</w:t>
      </w:r>
    </w:p>
    <w:p>
      <w:pPr>
        <w:pStyle w:val="Heading2"/>
        <w:spacing w:after="120" w:before="240"/>
      </w:pPr>
      <w:r>
        <w:rPr>
          <w:rFonts w:ascii="Arial" w:cs="Arial" w:eastAsia="Arial" w:hAnsi="Arial"/>
          <w:b/>
          <w:bCs/>
          <w:sz w:val="28"/>
          <w:szCs w:val="28"/>
        </w:rPr>
        <w:t xml:space="preserve">2.2. Điều kiện về thu nhập</w:t>
      </w:r>
    </w:p>
    <w:p>
      <w:pPr>
        <w:pStyle w:val="ListParagraph"/>
        <w:numPr>
          <w:ilvl w:val="0"/>
          <w:numId w:val="2"/>
        </w:numPr>
        <w:spacing w:after="40" w:before="40"/>
      </w:pPr>
      <w:r>
        <w:rPr>
          <w:rFonts w:ascii="Arial" w:cs="Arial" w:eastAsia="Arial" w:hAnsi="Arial"/>
          <w:sz w:val="24"/>
          <w:szCs w:val="24"/>
        </w:rPr>
        <w:t xml:space="preserve">Thu nhập ròng tối thiểu: 10.000.000 VND/tháng đối với vay tín chấp</w:t>
      </w:r>
    </w:p>
    <w:p>
      <w:pPr>
        <w:pStyle w:val="ListParagraph"/>
        <w:numPr>
          <w:ilvl w:val="0"/>
          <w:numId w:val="2"/>
        </w:numPr>
        <w:spacing w:after="40" w:before="40"/>
      </w:pPr>
      <w:r>
        <w:rPr>
          <w:rFonts w:ascii="Arial" w:cs="Arial" w:eastAsia="Arial" w:hAnsi="Arial"/>
          <w:sz w:val="24"/>
          <w:szCs w:val="24"/>
        </w:rPr>
        <w:t xml:space="preserve">Thu nhập ròng tối thiểu: 15.000.000 VND/tháng đối với vay thế chấp</w:t>
      </w:r>
    </w:p>
    <w:p>
      <w:pPr>
        <w:pStyle w:val="ListParagraph"/>
        <w:numPr>
          <w:ilvl w:val="0"/>
          <w:numId w:val="2"/>
        </w:numPr>
        <w:spacing w:after="40" w:before="40"/>
      </w:pPr>
      <w:r>
        <w:rPr>
          <w:rFonts w:ascii="Arial" w:cs="Arial" w:eastAsia="Arial" w:hAnsi="Arial"/>
          <w:sz w:val="24"/>
          <w:szCs w:val="24"/>
        </w:rPr>
        <w:t xml:space="preserve">Thu nhập được xác nhận qua: sao kê lương 3 tháng gần nhất, hợp đồng lao động còn hiệu lực, xác nhận thu nhập của đơn vị công tác</w:t>
      </w:r>
    </w:p>
    <w:p>
      <w:pPr>
        <w:pStyle w:val="ListParagraph"/>
        <w:numPr>
          <w:ilvl w:val="0"/>
          <w:numId w:val="2"/>
        </w:numPr>
        <w:spacing w:after="40" w:before="40"/>
      </w:pPr>
      <w:r>
        <w:rPr>
          <w:rFonts w:ascii="Arial" w:cs="Arial" w:eastAsia="Arial" w:hAnsi="Arial"/>
          <w:sz w:val="24"/>
          <w:szCs w:val="24"/>
        </w:rPr>
        <w:t xml:space="preserve">Tỷ lệ trả nợ/thu nhập (DSCR) không vượt quá 50%</w:t>
      </w:r>
    </w:p>
    <w:p>
      <w:pPr>
        <w:pStyle w:val="Heading2"/>
        <w:spacing w:after="120" w:before="240"/>
      </w:pPr>
      <w:r>
        <w:rPr>
          <w:rFonts w:ascii="Arial" w:cs="Arial" w:eastAsia="Arial" w:hAnsi="Arial"/>
          <w:b/>
          <w:bCs/>
          <w:sz w:val="28"/>
          <w:szCs w:val="28"/>
        </w:rPr>
        <w:t xml:space="preserve">2.3. Điều kiện về lịch sử tín dụng</w:t>
      </w:r>
    </w:p>
    <w:p>
      <w:pPr>
        <w:pStyle w:val="ListParagraph"/>
        <w:numPr>
          <w:ilvl w:val="0"/>
          <w:numId w:val="2"/>
        </w:numPr>
        <w:spacing w:after="40" w:before="40"/>
      </w:pPr>
      <w:r>
        <w:rPr>
          <w:rFonts w:ascii="Arial" w:cs="Arial" w:eastAsia="Arial" w:hAnsi="Arial"/>
          <w:sz w:val="24"/>
          <w:szCs w:val="24"/>
        </w:rPr>
        <w:t xml:space="preserve">Điểm tín dụng CIC tối thiểu: 650/850</w:t>
      </w:r>
    </w:p>
    <w:p>
      <w:pPr>
        <w:pStyle w:val="ListParagraph"/>
        <w:numPr>
          <w:ilvl w:val="0"/>
          <w:numId w:val="2"/>
        </w:numPr>
        <w:spacing w:after="40" w:before="40"/>
      </w:pPr>
      <w:r>
        <w:rPr>
          <w:rFonts w:ascii="Arial" w:cs="Arial" w:eastAsia="Arial" w:hAnsi="Arial"/>
          <w:sz w:val="24"/>
          <w:szCs w:val="24"/>
        </w:rPr>
        <w:t xml:space="preserve">Không có tranh chấp pháp lý liên quan đến tài sản hoặc khoản vay hiện tại</w:t>
      </w:r>
    </w:p>
    <w:p>
      <w:pPr>
        <w:pStyle w:val="Heading1"/>
        <w:spacing w:after="180" w:before="360"/>
      </w:pPr>
      <w:r>
        <w:rPr>
          <w:rFonts w:ascii="Arial" w:cs="Arial" w:eastAsia="Arial" w:hAnsi="Arial"/>
          <w:b/>
          <w:bCs/>
          <w:sz w:val="32"/>
          <w:szCs w:val="32"/>
        </w:rPr>
        <w:t xml:space="preserve">3. HẠN MỨC VÀ THỜI HẠN CHO VAY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2507"/>
        <w:gridCol w:w="2006"/>
        <w:gridCol w:w="2006"/>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Sản phẩm</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Hạn mức tối đa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Thời hạn tối đa</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LTV tối đa</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Vay tín chấp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500.000.000 VND</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60 tháng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N/A</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Vay thế chấp BĐS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10.000.000.000 VND</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240 tháng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70%</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Vay mua xe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2.000.000.000 VND</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84 tháng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80%</w:t>
            </w:r>
          </w:p>
        </w:tc>
      </w:tr>
      <w:tr>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Vay du học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800.000.000 VND</w:t>
            </w:r>
          </w:p>
        </w:tc>
        <w:tc>
          <w:tcPr>
            <w:tcW w:type="dxa" w:w="234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120 tháng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N/A</w:t>
            </w:r>
          </w:p>
        </w:tc>
      </w:tr>
    </w:tbl>
    <w:p>
      <w:pPr>
        <w:spacing w:before="240"/>
      </w:pPr>
    </w:p>
    <w:p>
      <w:pPr>
        <w:pStyle w:val="Heading1"/>
        <w:spacing w:after="180" w:before="360"/>
      </w:pPr>
      <w:r>
        <w:rPr>
          <w:rFonts w:ascii="Arial" w:cs="Arial" w:eastAsia="Arial" w:hAnsi="Arial"/>
          <w:b/>
          <w:bCs/>
          <w:sz w:val="32"/>
          <w:szCs w:val="32"/>
        </w:rPr>
        <w:t xml:space="preserve">4. LÃI SUẤT VÀ PHÍ</w:t>
      </w:r>
    </w:p>
    <w:p>
      <w:pPr>
        <w:pStyle w:val="Heading2"/>
        <w:spacing w:after="120" w:before="240"/>
      </w:pPr>
      <w:r>
        <w:rPr>
          <w:rFonts w:ascii="Arial" w:cs="Arial" w:eastAsia="Arial" w:hAnsi="Arial"/>
          <w:b/>
          <w:bCs/>
          <w:sz w:val="28"/>
          <w:szCs w:val="28"/>
        </w:rPr>
        <w:t xml:space="preserve">4.1. Lãi suất cho vay tín chấp</w:t>
      </w:r>
    </w:p>
    <w:p>
      <w:pPr>
        <w:pStyle w:val="ListParagraph"/>
        <w:numPr>
          <w:ilvl w:val="0"/>
          <w:numId w:val="2"/>
        </w:numPr>
        <w:spacing w:after="40" w:before="40"/>
      </w:pPr>
      <w:r>
        <w:rPr>
          <w:rFonts w:ascii="Arial" w:cs="Arial" w:eastAsia="Arial" w:hAnsi="Arial"/>
          <w:sz w:val="24"/>
          <w:szCs w:val="24"/>
        </w:rPr>
        <w:t xml:space="preserve">Kỳ hạn 12 tháng: 9,5%/năm (cố định toàn kỳ)</w:t>
      </w:r>
    </w:p>
    <w:p>
      <w:pPr>
        <w:pStyle w:val="ListParagraph"/>
        <w:numPr>
          <w:ilvl w:val="0"/>
          <w:numId w:val="2"/>
        </w:numPr>
        <w:spacing w:after="40" w:before="40"/>
      </w:pPr>
      <w:r>
        <w:rPr>
          <w:rFonts w:ascii="Arial" w:cs="Arial" w:eastAsia="Arial" w:hAnsi="Arial"/>
          <w:sz w:val="24"/>
          <w:szCs w:val="24"/>
        </w:rPr>
        <w:t xml:space="preserve">Kỳ hạn 24–36 tháng: 10,2%/năm (cố định 12 tháng đầu, thả nổi từ tháng 13)</w:t>
      </w:r>
    </w:p>
    <w:p>
      <w:pPr>
        <w:pStyle w:val="ListParagraph"/>
        <w:numPr>
          <w:ilvl w:val="0"/>
          <w:numId w:val="2"/>
        </w:numPr>
        <w:spacing w:after="40" w:before="40"/>
      </w:pPr>
      <w:r>
        <w:rPr>
          <w:rFonts w:ascii="Arial" w:cs="Arial" w:eastAsia="Arial" w:hAnsi="Arial"/>
          <w:sz w:val="24"/>
          <w:szCs w:val="24"/>
        </w:rPr>
        <w:t xml:space="preserve">Kỳ hạn 48–60 tháng: 10,8%/năm (cố định 12 tháng đầu, thả nổi từ tháng 13)</w:t>
      </w:r>
    </w:p>
    <w:p>
      <w:pPr>
        <w:pStyle w:val="ListParagraph"/>
        <w:numPr>
          <w:ilvl w:val="0"/>
          <w:numId w:val="2"/>
        </w:numPr>
        <w:spacing w:after="40" w:before="40"/>
      </w:pPr>
      <w:r>
        <w:rPr>
          <w:rFonts w:ascii="Arial" w:cs="Arial" w:eastAsia="Arial" w:hAnsi="Arial"/>
          <w:sz w:val="24"/>
          <w:szCs w:val="24"/>
        </w:rPr>
        <w:t xml:space="preserve">Lãi suất thả nổi = Lãi suất tiết kiệm 12 tháng VDB + biên độ 3,5%/năm</w:t>
      </w:r>
    </w:p>
    <w:p>
      <w:pPr>
        <w:pStyle w:val="Heading2"/>
        <w:spacing w:after="120" w:before="240"/>
      </w:pPr>
      <w:r>
        <w:rPr>
          <w:rFonts w:ascii="Arial" w:cs="Arial" w:eastAsia="Arial" w:hAnsi="Arial"/>
          <w:b/>
          <w:bCs/>
          <w:sz w:val="28"/>
          <w:szCs w:val="28"/>
        </w:rPr>
        <w:t xml:space="preserve">4.2. Lãi suất cho vay thế chấp</w:t>
      </w:r>
    </w:p>
    <w:p>
      <w:pPr>
        <w:pStyle w:val="ListParagraph"/>
        <w:numPr>
          <w:ilvl w:val="0"/>
          <w:numId w:val="2"/>
        </w:numPr>
        <w:spacing w:after="40" w:before="40"/>
      </w:pPr>
      <w:r>
        <w:rPr>
          <w:rFonts w:ascii="Arial" w:cs="Arial" w:eastAsia="Arial" w:hAnsi="Arial"/>
          <w:sz w:val="24"/>
          <w:szCs w:val="24"/>
        </w:rPr>
        <w:t xml:space="preserve">Năm 1–2: ưu đãi 7,9%/năm</w:t>
      </w:r>
    </w:p>
    <w:p>
      <w:pPr>
        <w:pStyle w:val="ListParagraph"/>
        <w:numPr>
          <w:ilvl w:val="0"/>
          <w:numId w:val="2"/>
        </w:numPr>
        <w:spacing w:after="40" w:before="40"/>
      </w:pPr>
      <w:r>
        <w:rPr>
          <w:rFonts w:ascii="Arial" w:cs="Arial" w:eastAsia="Arial" w:hAnsi="Arial"/>
          <w:sz w:val="24"/>
          <w:szCs w:val="24"/>
        </w:rPr>
        <w:t xml:space="preserve">Từ năm 3: lãi suất tiết kiệm 12 tháng + biên độ 3,0%/năm</w:t>
      </w:r>
    </w:p>
    <w:p>
      <w:pPr>
        <w:pStyle w:val="ListParagraph"/>
        <w:numPr>
          <w:ilvl w:val="0"/>
          <w:numId w:val="2"/>
        </w:numPr>
        <w:spacing w:after="40" w:before="40"/>
      </w:pPr>
      <w:r>
        <w:rPr>
          <w:rFonts w:ascii="Arial" w:cs="Arial" w:eastAsia="Arial" w:hAnsi="Arial"/>
          <w:sz w:val="24"/>
          <w:szCs w:val="24"/>
        </w:rPr>
        <w:t xml:space="preserve">Lãi suất phạt trả nợ trước hạn: 2%/số tiền trả trước (trong 12 tháng đầu), miễn phí sau đó</w:t>
      </w:r>
    </w:p>
    <w:p>
      <w:pPr>
        <w:pStyle w:val="Heading2"/>
        <w:spacing w:after="120" w:before="240"/>
      </w:pPr>
      <w:r>
        <w:rPr>
          <w:rFonts w:ascii="Arial" w:cs="Arial" w:eastAsia="Arial" w:hAnsi="Arial"/>
          <w:b/>
          <w:bCs/>
          <w:sz w:val="28"/>
          <w:szCs w:val="28"/>
        </w:rPr>
        <w:t xml:space="preserve">4.3. Phí</w:t>
      </w:r>
    </w:p>
    <w:p>
      <w:pPr>
        <w:pStyle w:val="ListParagraph"/>
        <w:numPr>
          <w:ilvl w:val="0"/>
          <w:numId w:val="2"/>
        </w:numPr>
        <w:spacing w:after="40" w:before="40"/>
      </w:pPr>
      <w:r>
        <w:rPr>
          <w:rFonts w:ascii="Arial" w:cs="Arial" w:eastAsia="Arial" w:hAnsi="Arial"/>
          <w:sz w:val="24"/>
          <w:szCs w:val="24"/>
        </w:rPr>
        <w:t xml:space="preserve">Phí thẩm định hồ sơ: 500.000 VND (không hoàn lại)</w:t>
      </w:r>
    </w:p>
    <w:p>
      <w:pPr>
        <w:pStyle w:val="ListParagraph"/>
        <w:numPr>
          <w:ilvl w:val="0"/>
          <w:numId w:val="2"/>
        </w:numPr>
        <w:spacing w:after="40" w:before="40"/>
      </w:pPr>
      <w:r>
        <w:rPr>
          <w:rFonts w:ascii="Arial" w:cs="Arial" w:eastAsia="Arial" w:hAnsi="Arial"/>
          <w:sz w:val="24"/>
          <w:szCs w:val="24"/>
        </w:rPr>
        <w:t xml:space="preserve">Phí quản lý khoản vay hàng năm: 0,1% số dư nợ, tối đa 2.000.000 VND/năm</w:t>
      </w:r>
    </w:p>
    <w:p>
      <w:pPr>
        <w:pStyle w:val="ListParagraph"/>
        <w:numPr>
          <w:ilvl w:val="0"/>
          <w:numId w:val="2"/>
        </w:numPr>
        <w:spacing w:after="40" w:before="40"/>
      </w:pPr>
      <w:r>
        <w:rPr>
          <w:rFonts w:ascii="Arial" w:cs="Arial" w:eastAsia="Arial" w:hAnsi="Arial"/>
          <w:sz w:val="24"/>
          <w:szCs w:val="24"/>
        </w:rPr>
        <w:t xml:space="preserve">Phí bảo hiểm khoản vay: theo quy định của công ty bảo hiểm liên kết</w:t>
      </w:r>
    </w:p>
    <w:p>
      <w:pPr>
        <w:pStyle w:val="Heading1"/>
        <w:spacing w:after="180" w:before="360"/>
      </w:pPr>
      <w:r>
        <w:rPr>
          <w:rFonts w:ascii="Arial" w:cs="Arial" w:eastAsia="Arial" w:hAnsi="Arial"/>
          <w:b/>
          <w:bCs/>
          <w:sz w:val="32"/>
          <w:szCs w:val="32"/>
        </w:rPr>
        <w:t xml:space="preserve">5. HỒ SƠ VAY VỐN</w:t>
      </w:r>
    </w:p>
    <w:p>
      <w:pPr>
        <w:pStyle w:val="Heading2"/>
        <w:spacing w:after="120" w:before="240"/>
      </w:pPr>
      <w:r>
        <w:rPr>
          <w:rFonts w:ascii="Arial" w:cs="Arial" w:eastAsia="Arial" w:hAnsi="Arial"/>
          <w:b/>
          <w:bCs/>
          <w:sz w:val="28"/>
          <w:szCs w:val="28"/>
        </w:rPr>
        <w:t xml:space="preserve">5.1. Hồ sơ pháp lý</w:t>
      </w:r>
    </w:p>
    <w:p>
      <w:pPr>
        <w:pStyle w:val="ListParagraph"/>
        <w:numPr>
          <w:ilvl w:val="0"/>
          <w:numId w:val="2"/>
        </w:numPr>
        <w:spacing w:after="40" w:before="40"/>
      </w:pPr>
      <w:r>
        <w:rPr>
          <w:rFonts w:ascii="Arial" w:cs="Arial" w:eastAsia="Arial" w:hAnsi="Arial"/>
          <w:sz w:val="24"/>
          <w:szCs w:val="24"/>
        </w:rPr>
        <w:t xml:space="preserve">CCCD/CMND bản gốc (xuất trình) và bản sao có công chứng</w:t>
      </w:r>
    </w:p>
    <w:p>
      <w:pPr>
        <w:pStyle w:val="ListParagraph"/>
        <w:numPr>
          <w:ilvl w:val="0"/>
          <w:numId w:val="2"/>
        </w:numPr>
        <w:spacing w:after="40" w:before="40"/>
      </w:pPr>
      <w:r>
        <w:rPr>
          <w:rFonts w:ascii="Arial" w:cs="Arial" w:eastAsia="Arial" w:hAnsi="Arial"/>
          <w:sz w:val="24"/>
          <w:szCs w:val="24"/>
        </w:rPr>
        <w:t xml:space="preserve">Hộ khẩu thường trú hoặc KT3 còn hiệu lực</w:t>
      </w:r>
    </w:p>
    <w:p>
      <w:pPr>
        <w:pStyle w:val="ListParagraph"/>
        <w:numPr>
          <w:ilvl w:val="0"/>
          <w:numId w:val="2"/>
        </w:numPr>
        <w:spacing w:after="40" w:before="40"/>
      </w:pPr>
      <w:r>
        <w:rPr>
          <w:rFonts w:ascii="Arial" w:cs="Arial" w:eastAsia="Arial" w:hAnsi="Arial"/>
          <w:sz w:val="24"/>
          <w:szCs w:val="24"/>
        </w:rPr>
        <w:t xml:space="preserve">Giấy đăng ký kết hôn hoặc giấy xác nhận độc thân (công chứng trong vòng 6 tháng)</w:t>
      </w:r>
    </w:p>
    <w:p>
      <w:pPr>
        <w:pStyle w:val="Heading2"/>
        <w:spacing w:after="120" w:before="240"/>
      </w:pPr>
      <w:r>
        <w:rPr>
          <w:rFonts w:ascii="Arial" w:cs="Arial" w:eastAsia="Arial" w:hAnsi="Arial"/>
          <w:b/>
          <w:bCs/>
          <w:sz w:val="28"/>
          <w:szCs w:val="28"/>
        </w:rPr>
        <w:t xml:space="preserve">5.2. Hồ sơ tài chính</w:t>
      </w:r>
    </w:p>
    <w:p>
      <w:pPr>
        <w:pStyle w:val="ListParagraph"/>
        <w:numPr>
          <w:ilvl w:val="0"/>
          <w:numId w:val="2"/>
        </w:numPr>
        <w:spacing w:after="40" w:before="40"/>
      </w:pPr>
      <w:r>
        <w:rPr>
          <w:rFonts w:ascii="Arial" w:cs="Arial" w:eastAsia="Arial" w:hAnsi="Arial"/>
          <w:sz w:val="24"/>
          <w:szCs w:val="24"/>
        </w:rPr>
        <w:t xml:space="preserve">Sao kê tài khoản lương 3 tháng gần nhất (có đóng dấu ngân hàng)</w:t>
      </w:r>
    </w:p>
    <w:p>
      <w:pPr>
        <w:pStyle w:val="ListParagraph"/>
        <w:numPr>
          <w:ilvl w:val="0"/>
          <w:numId w:val="2"/>
        </w:numPr>
        <w:spacing w:after="40" w:before="40"/>
      </w:pPr>
      <w:r>
        <w:rPr>
          <w:rFonts w:ascii="Arial" w:cs="Arial" w:eastAsia="Arial" w:hAnsi="Arial"/>
          <w:sz w:val="24"/>
          <w:szCs w:val="24"/>
        </w:rPr>
        <w:t xml:space="preserve">Hợp đồng lao động (còn hiệu lực tối thiểu 6 tháng kể từ ngày vay)</w:t>
      </w:r>
    </w:p>
    <w:p>
      <w:pPr>
        <w:pStyle w:val="ListParagraph"/>
        <w:numPr>
          <w:ilvl w:val="0"/>
          <w:numId w:val="2"/>
        </w:numPr>
        <w:spacing w:after="40" w:before="40"/>
      </w:pPr>
      <w:r>
        <w:rPr>
          <w:rFonts w:ascii="Arial" w:cs="Arial" w:eastAsia="Arial" w:hAnsi="Arial"/>
          <w:sz w:val="24"/>
          <w:szCs w:val="24"/>
        </w:rPr>
        <w:t xml:space="preserve">Xác nhận thu nhập của đơn vị công tác (không quá 30 ngày)</w:t>
      </w:r>
    </w:p>
    <w:p>
      <w:pPr>
        <w:pStyle w:val="ListParagraph"/>
        <w:numPr>
          <w:ilvl w:val="0"/>
          <w:numId w:val="2"/>
        </w:numPr>
        <w:spacing w:after="40" w:before="40"/>
      </w:pPr>
      <w:r>
        <w:rPr>
          <w:rFonts w:ascii="Arial" w:cs="Arial" w:eastAsia="Arial" w:hAnsi="Arial"/>
          <w:sz w:val="24"/>
          <w:szCs w:val="24"/>
        </w:rPr>
        <w:t xml:space="preserve">Bảng lương/phiếu lương 3 tháng gần nhất</w:t>
      </w:r>
    </w:p>
    <w:p>
      <w:pPr>
        <w:pStyle w:val="Heading2"/>
        <w:spacing w:after="120" w:before="240"/>
      </w:pPr>
      <w:r>
        <w:rPr>
          <w:rFonts w:ascii="Arial" w:cs="Arial" w:eastAsia="Arial" w:hAnsi="Arial"/>
          <w:b/>
          <w:bCs/>
          <w:sz w:val="28"/>
          <w:szCs w:val="28"/>
        </w:rPr>
        <w:t xml:space="preserve">5.3. Hồ sơ tài sản (đối với vay thế chấp)</w:t>
      </w:r>
    </w:p>
    <w:p>
      <w:pPr>
        <w:pStyle w:val="ListParagraph"/>
        <w:numPr>
          <w:ilvl w:val="0"/>
          <w:numId w:val="2"/>
        </w:numPr>
        <w:spacing w:after="40" w:before="40"/>
      </w:pPr>
      <w:r>
        <w:rPr>
          <w:rFonts w:ascii="Arial" w:cs="Arial" w:eastAsia="Arial" w:hAnsi="Arial"/>
          <w:sz w:val="24"/>
          <w:szCs w:val="24"/>
        </w:rPr>
        <w:t xml:space="preserve">Giấy chứng nhận quyền sử dụng đất / quyền sở hữu nhà (bản gốc)</w:t>
      </w:r>
    </w:p>
    <w:p>
      <w:pPr>
        <w:pStyle w:val="ListParagraph"/>
        <w:numPr>
          <w:ilvl w:val="0"/>
          <w:numId w:val="2"/>
        </w:numPr>
        <w:spacing w:after="40" w:before="40"/>
      </w:pPr>
      <w:r>
        <w:rPr>
          <w:rFonts w:ascii="Arial" w:cs="Arial" w:eastAsia="Arial" w:hAnsi="Arial"/>
          <w:sz w:val="24"/>
          <w:szCs w:val="24"/>
        </w:rPr>
        <w:t xml:space="preserve">Biên bản định giá tài sản của đơn vị thẩm định được VDB chấp thuận</w:t>
      </w:r>
    </w:p>
    <w:p>
      <w:pPr>
        <w:pStyle w:val="ListParagraph"/>
        <w:numPr>
          <w:ilvl w:val="0"/>
          <w:numId w:val="2"/>
        </w:numPr>
        <w:spacing w:after="40" w:before="40"/>
      </w:pPr>
      <w:r>
        <w:rPr>
          <w:rFonts w:ascii="Arial" w:cs="Arial" w:eastAsia="Arial" w:hAnsi="Arial"/>
          <w:sz w:val="24"/>
          <w:szCs w:val="24"/>
        </w:rPr>
        <w:t xml:space="preserve">Chứng minh không có tranh chấp, không bị kê biên</w:t>
      </w:r>
    </w:p>
    <w:p>
      <w:pPr>
        <w:pStyle w:val="Heading1"/>
        <w:spacing w:after="180" w:before="360"/>
      </w:pPr>
      <w:r>
        <w:rPr>
          <w:rFonts w:ascii="Arial" w:cs="Arial" w:eastAsia="Arial" w:hAnsi="Arial"/>
          <w:b/>
          <w:bCs/>
          <w:sz w:val="32"/>
          <w:szCs w:val="32"/>
        </w:rPr>
        <w:t xml:space="preserve">6. QUY TRÌNH PHÁN QUYẾT</w:t>
      </w:r>
    </w:p>
    <w:p>
      <w:pPr>
        <w:spacing w:after="60" w:before="60"/>
      </w:pPr>
      <w:r>
        <w:rPr>
          <w:rFonts w:ascii="Arial" w:cs="Arial" w:eastAsia="Arial" w:hAnsi="Arial"/>
          <w:sz w:val="24"/>
          <w:szCs w:val="24"/>
        </w:rPr>
        <w:t xml:space="preserve">Thời gian xử lý hồ sơ tối đa: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Loại hồ sơ</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Cán bộ tín dụng</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Phê duyệt cuối</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Tín chấp ≤ 200 triệu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 ngày làm việc</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2 ngày làm việc</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Tín chấp 200–500 triệu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 ngày làm việc</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3 ngày làm việc</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Thế chấp ≤ 2 tỷ</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 ngày làm việc</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5 ngày làm việc</w:t>
            </w:r>
          </w:p>
        </w:tc>
      </w:tr>
      <w:tr>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Thế chấp &gt; 2 tỷ</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 ngày làm việc</w:t>
            </w:r>
          </w:p>
        </w:tc>
        <w:tc>
          <w:tcPr>
            <w:tcW w:type="dxa" w:w="312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val="false"/>
                <w:bCs w:val="false"/>
                <w:color w:val="000000"/>
                <w:sz w:val="22"/>
                <w:szCs w:val="22"/>
              </w:rPr>
              <w:t xml:space="preserve">7 ngày làm việc</w:t>
            </w:r>
          </w:p>
        </w:tc>
      </w:tr>
    </w:tbl>
    <w:p>
      <w:pPr>
        <w:spacing w:before="240"/>
      </w:pPr>
    </w:p>
    <w:p>
      <w:pPr>
        <w:pStyle w:val="Heading1"/>
        <w:spacing w:after="180" w:before="360"/>
      </w:pPr>
      <w:r>
        <w:rPr>
          <w:rFonts w:ascii="Arial" w:cs="Arial" w:eastAsia="Arial" w:hAnsi="Arial"/>
          <w:b/>
          <w:bCs/>
          <w:sz w:val="32"/>
          <w:szCs w:val="32"/>
        </w:rPr>
        <w:t xml:space="preserve">7. ĐIỀU KHOẢN ĐẶC BIỆT VÀ MIỄN TRỪ</w:t>
      </w:r>
    </w:p>
    <w:p>
      <w:pPr>
        <w:spacing w:after="60" w:before="60"/>
      </w:pPr>
      <w:r>
        <w:rPr>
          <w:rFonts w:ascii="Arial" w:cs="Arial" w:eastAsia="Arial" w:hAnsi="Arial"/>
          <w:sz w:val="24"/>
          <w:szCs w:val="24"/>
        </w:rPr>
        <w:t xml:space="preserve">Các trường hợp sau đây yêu cầu phê duyệt từ Ban Tổng Giám đốc trước khi giải ngân:</w:t>
      </w:r>
    </w:p>
    <w:p>
      <w:pPr>
        <w:pStyle w:val="ListParagraph"/>
        <w:numPr>
          <w:ilvl w:val="0"/>
          <w:numId w:val="2"/>
        </w:numPr>
        <w:spacing w:after="40" w:before="40"/>
      </w:pPr>
      <w:r>
        <w:rPr>
          <w:rFonts w:ascii="Arial" w:cs="Arial" w:eastAsia="Arial" w:hAnsi="Arial"/>
          <w:sz w:val="24"/>
          <w:szCs w:val="24"/>
        </w:rPr>
        <w:t xml:space="preserve">Khoản vay tín chấp vượt 300 triệu VND cho khách hàng có lịch sử quan hệ dưới 6 tháng</w:t>
      </w:r>
    </w:p>
    <w:p>
      <w:pPr>
        <w:pStyle w:val="ListParagraph"/>
        <w:numPr>
          <w:ilvl w:val="0"/>
          <w:numId w:val="2"/>
        </w:numPr>
        <w:spacing w:after="40" w:before="40"/>
      </w:pPr>
      <w:r>
        <w:rPr>
          <w:rFonts w:ascii="Arial" w:cs="Arial" w:eastAsia="Arial" w:hAnsi="Arial"/>
          <w:sz w:val="24"/>
          <w:szCs w:val="24"/>
        </w:rPr>
        <w:t xml:space="preserve">Khách hàng có người thân làm việc tại VDB ở vị trí cấp trưởng phòng trở lên</w:t>
      </w:r>
    </w:p>
    <w:p>
      <w:pPr>
        <w:pStyle w:val="ListParagraph"/>
        <w:numPr>
          <w:ilvl w:val="0"/>
          <w:numId w:val="2"/>
        </w:numPr>
        <w:spacing w:after="40" w:before="40"/>
      </w:pPr>
      <w:r>
        <w:rPr>
          <w:rFonts w:ascii="Arial" w:cs="Arial" w:eastAsia="Arial" w:hAnsi="Arial"/>
          <w:sz w:val="24"/>
          <w:szCs w:val="24"/>
        </w:rPr>
        <w:t xml:space="preserve">Tài sản đảm bảo nằm ngoài địa bàn hoạt động của chi nhánh giải ngân</w:t>
      </w:r>
    </w:p>
    <w:p>
      <w:pPr>
        <w:pStyle w:val="ListParagraph"/>
        <w:numPr>
          <w:ilvl w:val="0"/>
          <w:numId w:val="2"/>
        </w:numPr>
        <w:spacing w:after="40" w:before="40"/>
      </w:pPr>
      <w:r>
        <w:rPr>
          <w:rFonts w:ascii="Arial" w:cs="Arial" w:eastAsia="Arial" w:hAnsi="Arial"/>
          <w:sz w:val="24"/>
          <w:szCs w:val="24"/>
        </w:rPr>
        <w:t xml:space="preserve">Khoản vay có liên quan đến giao dịch với bên thứ ba là doanh nghiệp có vốn nước ngoài trên 51%</w:t>
      </w:r>
    </w:p>
    <w:p>
      <w:pPr>
        <w:spacing w:before="480"/>
      </w:pPr>
    </w:p>
    <w:p>
      <w:pPr>
        <w:jc w:val="center"/>
      </w:pPr>
      <w:r>
        <w:rPr>
          <w:rFonts w:ascii="Arial" w:cs="Arial" w:eastAsia="Arial" w:hAnsi="Arial"/>
          <w:i/>
          <w:iCs/>
          <w:color w:val="888888"/>
          <w:sz w:val="20"/>
          <w:szCs w:val="20"/>
        </w:rPr>
        <w:t xml:space="preserve">Tài liệu này có hiệu lực từ ngày 01/01/2024. Mọi phiên bản trước đây đều hết hiệu lực.</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Mã tài liệu: VDB-LOAN-001 | Phiên bản: 2.1 | Hiệu lực: 01/01/2024    Trang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NGÂN HÀNG TMCP PHÁT TRIỂN VIỆT NAM — TÀI LIỆU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2026-06-04T11:37:07.567Z</dcterms:created>
  <dcterms:modified xsi:type="dcterms:W3CDTF">2026-06-04T11:37:07.567Z</dcterms:modified>
</cp:coreProperties>
</file>

<file path=docProps/custom.xml><?xml version="1.0" encoding="utf-8"?>
<Properties xmlns="http://schemas.openxmlformats.org/officeDocument/2006/custom-properties" xmlns:vt="http://schemas.openxmlformats.org/officeDocument/2006/docPropsVTypes"/>
</file>