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A5276"/>
          <w:sz w:val="28"/>
          <w:szCs w:val="28"/>
        </w:rPr>
        <w:t xml:space="preserve">NGÂN HÀNG TMCP PHÁT TRIỂN VIỆT NAM</w:t>
      </w:r>
    </w:p>
    <w:p>
      <w:pPr>
        <w:spacing w:after="480" w:before="0"/>
        <w:jc w:val="center"/>
      </w:pPr>
      <w:r>
        <w:rPr>
          <w:rFonts w:ascii="Arial" w:cs="Arial" w:eastAsia="Arial" w:hAnsi="Arial"/>
          <w:i/>
          <w:iCs/>
          <w:color w:val="888888"/>
          <w:sz w:val="22"/>
          <w:szCs w:val="22"/>
        </w:rPr>
        <w:t xml:space="preserve">Vietnam Development Commercial Bank</w:t>
      </w:r>
    </w:p>
    <w:p>
      <w:pPr>
        <w:pBdr>
          <w:bottom w:val="single" w:color="2471A3" w:sz="6" w:space="1"/>
        </w:pBdr>
        <w:spacing w:after="120" w:before="0"/>
        <w:jc w:val="center"/>
      </w:pPr>
      <w:r>
        <w:rPr>
          <w:rFonts w:ascii="Arial" w:cs="Arial" w:eastAsia="Arial" w:hAnsi="Arial"/>
          <w:b/>
          <w:bCs/>
          <w:color w:val="1A5276"/>
          <w:sz w:val="40"/>
          <w:szCs w:val="40"/>
        </w:rPr>
        <w:t xml:space="preserve">CHÍNH SÁCH THẺ TÍN DỤNG</w:t>
      </w:r>
    </w:p>
    <w:p>
      <w:pPr>
        <w:spacing w:after="600" w:before="120"/>
        <w:jc w:val="center"/>
      </w:pPr>
      <w:r>
        <w:rPr>
          <w:rFonts w:ascii="Arial" w:cs="Arial" w:eastAsia="Arial" w:hAnsi="Arial"/>
          <w:color w:val="666666"/>
          <w:sz w:val="20"/>
          <w:szCs w:val="20"/>
        </w:rPr>
        <w:t xml:space="preserve">Mã tài liệu: VDB-CARD-002  |  Phiên bản: 1.4  |  Ngày hiệu lực: 01/03/2024</w:t>
      </w:r>
    </w:p>
    <w:p>
      <w:pPr>
        <w:pStyle w:val="Heading1"/>
        <w:spacing w:after="180" w:before="360"/>
      </w:pPr>
      <w:r>
        <w:rPr>
          <w:rFonts w:ascii="Arial" w:cs="Arial" w:eastAsia="Arial" w:hAnsi="Arial"/>
          <w:b/>
          <w:bCs/>
          <w:sz w:val="32"/>
          <w:szCs w:val="32"/>
        </w:rPr>
        <w:t xml:space="preserve">1. MỤC ĐÍCH</w:t>
      </w:r>
    </w:p>
    <w:p>
      <w:pPr>
        <w:spacing w:after="60" w:before="60"/>
      </w:pPr>
      <w:r>
        <w:rPr>
          <w:rFonts w:ascii="Arial" w:cs="Arial" w:eastAsia="Arial" w:hAnsi="Arial"/>
          <w:sz w:val="24"/>
          <w:szCs w:val="24"/>
        </w:rPr>
        <w:t xml:space="preserve">Tài liệu này quy định điều kiện phát hành, hạn mức tín dụng, phí, lãi suất và quy trình quản lý thẻ tín dụng do VDB phát hành, áp dụng cho cả thẻ nội địa và thẻ quốc tế (Visa, Mastercard).</w:t>
      </w:r>
    </w:p>
    <w:p>
      <w:pPr>
        <w:pStyle w:val="Heading1"/>
        <w:spacing w:after="180" w:before="360"/>
      </w:pPr>
      <w:r>
        <w:rPr>
          <w:rFonts w:ascii="Arial" w:cs="Arial" w:eastAsia="Arial" w:hAnsi="Arial"/>
          <w:b/>
          <w:bCs/>
          <w:sz w:val="32"/>
          <w:szCs w:val="32"/>
        </w:rPr>
        <w:t xml:space="preserve">2. PHÂN LOẠI THẺ VÀ HẠN MỨC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26"/>
        <w:gridCol w:w="2500"/>
      </w:tblGrid>
      <w:tr>
        <w:tc>
          <w:tcPr>
            <w:tcW w:type="dxa" w:w="225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Hạng thẻ</w:t>
            </w:r>
          </w:p>
        </w:tc>
        <w:tc>
          <w:tcPr>
            <w:tcW w:type="dxa" w:w="225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Thu nhập tối thiểu</w:t>
            </w:r>
          </w:p>
        </w:tc>
        <w:tc>
          <w:tcPr>
            <w:tcW w:type="dxa" w:w="225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Hạn mức tối đa</w:t>
            </w:r>
          </w:p>
        </w:tc>
        <w:tc>
          <w:tcPr>
            <w:tcW w:type="dxa" w:w="225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Miễn lãi tối đa</w:t>
            </w:r>
          </w:p>
        </w:tc>
      </w:tr>
      <w:tr>
        <w:tc>
          <w:tcPr>
            <w:tcW w:type="dxa" w:w="2256"/>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val="false"/>
                <w:bCs w:val="false"/>
                <w:color w:val="000000"/>
                <w:sz w:val="22"/>
                <w:szCs w:val="22"/>
              </w:rPr>
              <w:t xml:space="preserve">Classic</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8.000.000 VND/tháng</w:t>
            </w:r>
          </w:p>
        </w:tc>
        <w:tc>
          <w:tcPr>
            <w:tcW w:type="dxa" w:w="2256"/>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val="false"/>
                <w:bCs w:val="false"/>
                <w:color w:val="000000"/>
                <w:sz w:val="22"/>
                <w:szCs w:val="22"/>
              </w:rPr>
              <w:t xml:space="preserve">30.000.000 VND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45 ngày</w:t>
            </w:r>
          </w:p>
        </w:tc>
      </w:tr>
      <w:tr>
        <w:tc>
          <w:tcPr>
            <w:tcW w:type="dxa" w:w="2256"/>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val="false"/>
                <w:bCs w:val="false"/>
                <w:color w:val="000000"/>
                <w:sz w:val="22"/>
                <w:szCs w:val="22"/>
              </w:rPr>
              <w:t xml:space="preserve">Gold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15.000.000 VND/tháng</w:t>
            </w:r>
          </w:p>
        </w:tc>
        <w:tc>
          <w:tcPr>
            <w:tcW w:type="dxa" w:w="2256"/>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val="false"/>
                <w:bCs w:val="false"/>
                <w:color w:val="000000"/>
                <w:sz w:val="22"/>
                <w:szCs w:val="22"/>
              </w:rPr>
              <w:t xml:space="preserve">80.000.000 VND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45 ngày</w:t>
            </w:r>
          </w:p>
        </w:tc>
      </w:tr>
      <w:tr>
        <w:tc>
          <w:tcPr>
            <w:tcW w:type="dxa" w:w="2256"/>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val="false"/>
                <w:bCs w:val="false"/>
                <w:color w:val="000000"/>
                <w:sz w:val="22"/>
                <w:szCs w:val="22"/>
              </w:rPr>
              <w:t xml:space="preserve">Platinum</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30.000.000 VND/tháng</w:t>
            </w:r>
          </w:p>
        </w:tc>
        <w:tc>
          <w:tcPr>
            <w:tcW w:type="dxa" w:w="2256"/>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val="false"/>
                <w:bCs w:val="false"/>
                <w:color w:val="000000"/>
                <w:sz w:val="22"/>
                <w:szCs w:val="22"/>
              </w:rPr>
              <w:t xml:space="preserve">200.000.000 VND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55 ngày</w:t>
            </w:r>
          </w:p>
        </w:tc>
      </w:tr>
      <w:tr>
        <w:tc>
          <w:tcPr>
            <w:tcW w:type="dxa" w:w="2256"/>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val="false"/>
                <w:bCs w:val="false"/>
                <w:color w:val="000000"/>
                <w:sz w:val="22"/>
                <w:szCs w:val="22"/>
              </w:rPr>
              <w:t xml:space="preserve">Infinite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80.000.000 VND/tháng</w:t>
            </w:r>
          </w:p>
        </w:tc>
        <w:tc>
          <w:tcPr>
            <w:tcW w:type="dxa" w:w="2256"/>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val="false"/>
                <w:bCs w:val="false"/>
                <w:color w:val="000000"/>
                <w:sz w:val="22"/>
                <w:szCs w:val="22"/>
              </w:rPr>
              <w:t xml:space="preserve">500.000.000 VND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55 ngày</w:t>
            </w:r>
          </w:p>
        </w:tc>
      </w:tr>
    </w:tbl>
    <w:p>
      <w:pPr>
        <w:spacing w:before="240"/>
      </w:pPr>
    </w:p>
    <w:p>
      <w:pPr>
        <w:pStyle w:val="Heading1"/>
        <w:spacing w:after="180" w:before="360"/>
      </w:pPr>
      <w:r>
        <w:rPr>
          <w:rFonts w:ascii="Arial" w:cs="Arial" w:eastAsia="Arial" w:hAnsi="Arial"/>
          <w:b/>
          <w:bCs/>
          <w:sz w:val="32"/>
          <w:szCs w:val="32"/>
        </w:rPr>
        <w:t xml:space="preserve">3. ĐIỀU KIỆN PHÁT HÀNH THẺ</w:t>
      </w:r>
    </w:p>
    <w:p>
      <w:pPr>
        <w:pStyle w:val="Heading2"/>
        <w:spacing w:after="120" w:before="240"/>
      </w:pPr>
      <w:r>
        <w:rPr>
          <w:rFonts w:ascii="Arial" w:cs="Arial" w:eastAsia="Arial" w:hAnsi="Arial"/>
          <w:b/>
          <w:bCs/>
          <w:sz w:val="28"/>
          <w:szCs w:val="28"/>
        </w:rPr>
        <w:t xml:space="preserve">3.1. Thẻ chính</w:t>
      </w:r>
    </w:p>
    <w:p>
      <w:pPr>
        <w:pStyle w:val="ListParagraph"/>
        <w:numPr>
          <w:ilvl w:val="0"/>
          <w:numId w:val="2"/>
        </w:numPr>
        <w:spacing w:after="40" w:before="40"/>
      </w:pPr>
      <w:r>
        <w:rPr>
          <w:rFonts w:ascii="Arial" w:cs="Arial" w:eastAsia="Arial" w:hAnsi="Arial"/>
          <w:sz w:val="24"/>
          <w:szCs w:val="24"/>
        </w:rPr>
        <w:t xml:space="preserve">Công dân Việt Nam hoặc người nước ngoài cư trú hợp pháp, từ 18 tuổi trở lên</w:t>
      </w:r>
    </w:p>
    <w:p>
      <w:pPr>
        <w:pStyle w:val="ListParagraph"/>
        <w:numPr>
          <w:ilvl w:val="0"/>
          <w:numId w:val="2"/>
        </w:numPr>
        <w:spacing w:after="40" w:before="40"/>
      </w:pPr>
      <w:r>
        <w:rPr>
          <w:rFonts w:ascii="Arial" w:cs="Arial" w:eastAsia="Arial" w:hAnsi="Arial"/>
          <w:sz w:val="24"/>
          <w:szCs w:val="24"/>
        </w:rPr>
        <w:t xml:space="preserve">Thu nhập ròng đáp ứng ngưỡng tối thiểu theo hạng thẻ (mục 2)</w:t>
      </w:r>
    </w:p>
    <w:p>
      <w:pPr>
        <w:pStyle w:val="ListParagraph"/>
        <w:numPr>
          <w:ilvl w:val="0"/>
          <w:numId w:val="2"/>
        </w:numPr>
        <w:spacing w:after="40" w:before="40"/>
      </w:pPr>
      <w:r>
        <w:rPr>
          <w:rFonts w:ascii="Arial" w:cs="Arial" w:eastAsia="Arial" w:hAnsi="Arial"/>
          <w:sz w:val="24"/>
          <w:szCs w:val="24"/>
        </w:rPr>
        <w:t xml:space="preserve">Điểm CIC tối thiểu 600 (Classic/Gold) hoặc 680 (Platinum/Infinite)</w:t>
      </w:r>
    </w:p>
    <w:p>
      <w:pPr>
        <w:pStyle w:val="ListParagraph"/>
        <w:numPr>
          <w:ilvl w:val="0"/>
          <w:numId w:val="2"/>
        </w:numPr>
        <w:spacing w:after="40" w:before="40"/>
      </w:pPr>
      <w:r>
        <w:rPr>
          <w:rFonts w:ascii="Arial" w:cs="Arial" w:eastAsia="Arial" w:hAnsi="Arial"/>
          <w:sz w:val="24"/>
          <w:szCs w:val="24"/>
        </w:rPr>
        <w:t xml:space="preserve">Không có nợ xấu nhóm 3–5 tại bất kỳ TCTD nào trong 24 tháng gần nhất</w:t>
      </w:r>
    </w:p>
    <w:p>
      <w:pPr>
        <w:pStyle w:val="ListParagraph"/>
        <w:numPr>
          <w:ilvl w:val="0"/>
          <w:numId w:val="2"/>
        </w:numPr>
        <w:spacing w:after="40" w:before="40"/>
      </w:pPr>
      <w:r>
        <w:rPr>
          <w:rFonts w:ascii="Arial" w:cs="Arial" w:eastAsia="Arial" w:hAnsi="Arial"/>
          <w:sz w:val="24"/>
          <w:szCs w:val="24"/>
        </w:rPr>
        <w:t xml:space="preserve">Không đang trong thời gian bị phong tỏa thẻ hoặc bị cấm giao dịch bởi NHNN</w:t>
      </w:r>
    </w:p>
    <w:p>
      <w:pPr>
        <w:pStyle w:val="Heading2"/>
        <w:spacing w:after="120" w:before="240"/>
      </w:pPr>
      <w:r>
        <w:rPr>
          <w:rFonts w:ascii="Arial" w:cs="Arial" w:eastAsia="Arial" w:hAnsi="Arial"/>
          <w:b/>
          <w:bCs/>
          <w:sz w:val="28"/>
          <w:szCs w:val="28"/>
        </w:rPr>
        <w:t xml:space="preserve">3.2. Thẻ phụ</w:t>
      </w:r>
    </w:p>
    <w:p>
      <w:pPr>
        <w:pStyle w:val="ListParagraph"/>
        <w:numPr>
          <w:ilvl w:val="0"/>
          <w:numId w:val="2"/>
        </w:numPr>
        <w:spacing w:after="40" w:before="40"/>
      </w:pPr>
      <w:r>
        <w:rPr>
          <w:rFonts w:ascii="Arial" w:cs="Arial" w:eastAsia="Arial" w:hAnsi="Arial"/>
          <w:sz w:val="24"/>
          <w:szCs w:val="24"/>
        </w:rPr>
        <w:t xml:space="preserve">Tối đa 3 thẻ phụ trên mỗi thẻ chính</w:t>
      </w:r>
    </w:p>
    <w:p>
      <w:pPr>
        <w:pStyle w:val="ListParagraph"/>
        <w:numPr>
          <w:ilvl w:val="0"/>
          <w:numId w:val="2"/>
        </w:numPr>
        <w:spacing w:after="40" w:before="40"/>
      </w:pPr>
      <w:r>
        <w:rPr>
          <w:rFonts w:ascii="Arial" w:cs="Arial" w:eastAsia="Arial" w:hAnsi="Arial"/>
          <w:sz w:val="24"/>
          <w:szCs w:val="24"/>
        </w:rPr>
        <w:t xml:space="preserve">Chủ thẻ phụ từ 15 tuổi trở lên; dưới 18 tuổi cần có sự đồng ý bằng văn bản của cha/mẹ</w:t>
      </w:r>
    </w:p>
    <w:p>
      <w:pPr>
        <w:pStyle w:val="ListParagraph"/>
        <w:numPr>
          <w:ilvl w:val="0"/>
          <w:numId w:val="2"/>
        </w:numPr>
        <w:spacing w:after="40" w:before="40"/>
      </w:pPr>
      <w:r>
        <w:rPr>
          <w:rFonts w:ascii="Arial" w:cs="Arial" w:eastAsia="Arial" w:hAnsi="Arial"/>
          <w:sz w:val="24"/>
          <w:szCs w:val="24"/>
        </w:rPr>
        <w:t xml:space="preserve">Hạn mức thẻ phụ do chủ thẻ chính thiết lập, không vượt quá hạn mức thẻ chính</w:t>
      </w:r>
    </w:p>
    <w:p>
      <w:pPr>
        <w:pStyle w:val="ListParagraph"/>
        <w:numPr>
          <w:ilvl w:val="0"/>
          <w:numId w:val="2"/>
        </w:numPr>
        <w:spacing w:after="40" w:before="40"/>
      </w:pPr>
      <w:r>
        <w:rPr>
          <w:rFonts w:ascii="Arial" w:cs="Arial" w:eastAsia="Arial" w:hAnsi="Arial"/>
          <w:sz w:val="24"/>
          <w:szCs w:val="24"/>
        </w:rPr>
        <w:t xml:space="preserve">Chủ thẻ chính chịu toàn bộ trách nhiệm thanh toán thay cho thẻ phụ</w:t>
      </w:r>
    </w:p>
    <w:p>
      <w:pPr>
        <w:pStyle w:val="Heading1"/>
        <w:spacing w:after="180" w:before="360"/>
      </w:pPr>
      <w:r>
        <w:rPr>
          <w:rFonts w:ascii="Arial" w:cs="Arial" w:eastAsia="Arial" w:hAnsi="Arial"/>
          <w:b/>
          <w:bCs/>
          <w:sz w:val="32"/>
          <w:szCs w:val="32"/>
        </w:rPr>
        <w:t xml:space="preserve">4. LÃI SUẤT VÀ PHÍ</w:t>
      </w:r>
    </w:p>
    <w:p>
      <w:pPr>
        <w:pStyle w:val="Heading2"/>
        <w:spacing w:after="120" w:before="240"/>
      </w:pPr>
      <w:r>
        <w:rPr>
          <w:rFonts w:ascii="Arial" w:cs="Arial" w:eastAsia="Arial" w:hAnsi="Arial"/>
          <w:b/>
          <w:bCs/>
          <w:sz w:val="28"/>
          <w:szCs w:val="28"/>
        </w:rPr>
        <w:t xml:space="preserve">4.1. Lãi suất</w:t>
      </w:r>
    </w:p>
    <w:p>
      <w:pPr>
        <w:pStyle w:val="ListParagraph"/>
        <w:numPr>
          <w:ilvl w:val="0"/>
          <w:numId w:val="2"/>
        </w:numPr>
        <w:spacing w:after="40" w:before="40"/>
      </w:pPr>
      <w:r>
        <w:rPr>
          <w:rFonts w:ascii="Arial" w:cs="Arial" w:eastAsia="Arial" w:hAnsi="Arial"/>
          <w:sz w:val="24"/>
          <w:szCs w:val="24"/>
        </w:rPr>
        <w:t xml:space="preserve">Lãi suất áp dụng khi không thanh toán đủ trong kỳ: 28,8%/năm (2,4%/tháng)</w:t>
      </w:r>
    </w:p>
    <w:p>
      <w:pPr>
        <w:pStyle w:val="ListParagraph"/>
        <w:numPr>
          <w:ilvl w:val="0"/>
          <w:numId w:val="2"/>
        </w:numPr>
        <w:spacing w:after="40" w:before="40"/>
      </w:pPr>
      <w:r>
        <w:rPr>
          <w:rFonts w:ascii="Arial" w:cs="Arial" w:eastAsia="Arial" w:hAnsi="Arial"/>
          <w:sz w:val="24"/>
          <w:szCs w:val="24"/>
        </w:rPr>
        <w:t xml:space="preserve">Lãi suất rút tiền mặt: 36%/năm (3,0%/tháng), tính từ ngày giao dịch</w:t>
      </w:r>
    </w:p>
    <w:p>
      <w:pPr>
        <w:pStyle w:val="ListParagraph"/>
        <w:numPr>
          <w:ilvl w:val="0"/>
          <w:numId w:val="2"/>
        </w:numPr>
        <w:spacing w:after="40" w:before="40"/>
      </w:pPr>
      <w:r>
        <w:rPr>
          <w:rFonts w:ascii="Arial" w:cs="Arial" w:eastAsia="Arial" w:hAnsi="Arial"/>
          <w:sz w:val="24"/>
          <w:szCs w:val="24"/>
        </w:rPr>
        <w:t xml:space="preserve">Không áp dụng thời gian miễn lãi cho giao dịch rút tiền mặt</w:t>
      </w:r>
    </w:p>
    <w:p>
      <w:pPr>
        <w:pStyle w:val="ListParagraph"/>
        <w:numPr>
          <w:ilvl w:val="0"/>
          <w:numId w:val="2"/>
        </w:numPr>
        <w:spacing w:after="40" w:before="40"/>
      </w:pPr>
      <w:r>
        <w:rPr>
          <w:rFonts w:ascii="Arial" w:cs="Arial" w:eastAsia="Arial" w:hAnsi="Arial"/>
          <w:sz w:val="24"/>
          <w:szCs w:val="24"/>
        </w:rPr>
        <w:t xml:space="preserve">Nợ quá hạn: lãi suất nợ quá hạn = lãi suất trong hạn x 150%</w:t>
      </w:r>
    </w:p>
    <w:p>
      <w:pPr>
        <w:pStyle w:val="Heading2"/>
        <w:spacing w:after="120" w:before="240"/>
      </w:pPr>
      <w:r>
        <w:rPr>
          <w:rFonts w:ascii="Arial" w:cs="Arial" w:eastAsia="Arial" w:hAnsi="Arial"/>
          <w:b/>
          <w:bCs/>
          <w:sz w:val="28"/>
          <w:szCs w:val="28"/>
        </w:rPr>
        <w:t xml:space="preserve">4.2. Phí thường niên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63"/>
        <w:gridCol w:w="2263"/>
        <w:gridCol w:w="2250"/>
        <w:gridCol w:w="2250"/>
      </w:tblGrid>
      <w:tr>
        <w:tc>
          <w:tcPr>
            <w:tcW w:type="dxa" w:w="225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Hạng thẻ</w:t>
            </w:r>
          </w:p>
        </w:tc>
        <w:tc>
          <w:tcPr>
            <w:tcW w:type="dxa" w:w="225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Thẻ chính</w:t>
            </w:r>
          </w:p>
        </w:tc>
        <w:tc>
          <w:tcPr>
            <w:tcW w:type="dxa" w:w="225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Thẻ phụ</w:t>
            </w:r>
          </w:p>
        </w:tc>
        <w:tc>
          <w:tcPr>
            <w:tcW w:type="dxa" w:w="225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Miễn phí nếu</w:t>
            </w:r>
          </w:p>
        </w:tc>
      </w:tr>
      <w:tr>
        <w:tc>
          <w:tcPr>
            <w:tcW w:type="dxa" w:w="2256"/>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val="false"/>
                <w:bCs w:val="false"/>
                <w:color w:val="000000"/>
                <w:sz w:val="22"/>
                <w:szCs w:val="22"/>
              </w:rPr>
              <w:t xml:space="preserve">Classic</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199.000 VND</w:t>
            </w:r>
          </w:p>
        </w:tc>
        <w:tc>
          <w:tcPr>
            <w:tcW w:type="dxa" w:w="2256"/>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val="false"/>
                <w:bCs w:val="false"/>
                <w:color w:val="000000"/>
                <w:sz w:val="22"/>
                <w:szCs w:val="22"/>
              </w:rPr>
              <w:t xml:space="preserve">99.000 VND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Chi tiêu ≥ 10 triệu/năm</w:t>
            </w:r>
          </w:p>
        </w:tc>
      </w:tr>
      <w:tr>
        <w:tc>
          <w:tcPr>
            <w:tcW w:type="dxa" w:w="2256"/>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val="false"/>
                <w:bCs w:val="false"/>
                <w:color w:val="000000"/>
                <w:sz w:val="22"/>
                <w:szCs w:val="22"/>
              </w:rPr>
              <w:t xml:space="preserve">Gold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399.000 VND</w:t>
            </w:r>
          </w:p>
        </w:tc>
        <w:tc>
          <w:tcPr>
            <w:tcW w:type="dxa" w:w="2256"/>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val="false"/>
                <w:bCs w:val="false"/>
                <w:color w:val="000000"/>
                <w:sz w:val="22"/>
                <w:szCs w:val="22"/>
              </w:rPr>
              <w:t xml:space="preserve">199.000 VND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Chi tiêu ≥ 30 triệu/năm</w:t>
            </w:r>
          </w:p>
        </w:tc>
      </w:tr>
      <w:tr>
        <w:tc>
          <w:tcPr>
            <w:tcW w:type="dxa" w:w="2256"/>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val="false"/>
                <w:bCs w:val="false"/>
                <w:color w:val="000000"/>
                <w:sz w:val="22"/>
                <w:szCs w:val="22"/>
              </w:rPr>
              <w:t xml:space="preserve">Platinum</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899.000 VND</w:t>
            </w:r>
          </w:p>
        </w:tc>
        <w:tc>
          <w:tcPr>
            <w:tcW w:type="dxa" w:w="2256"/>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val="false"/>
                <w:bCs w:val="false"/>
                <w:color w:val="000000"/>
                <w:sz w:val="22"/>
                <w:szCs w:val="22"/>
              </w:rPr>
              <w:t xml:space="preserve">299.000 VND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Chi tiêu ≥ 80 triệu/năm</w:t>
            </w:r>
          </w:p>
        </w:tc>
      </w:tr>
      <w:tr>
        <w:tc>
          <w:tcPr>
            <w:tcW w:type="dxa" w:w="2256"/>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val="false"/>
                <w:bCs w:val="false"/>
                <w:color w:val="000000"/>
                <w:sz w:val="22"/>
                <w:szCs w:val="22"/>
              </w:rPr>
              <w:t xml:space="preserve">Infinite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2.500.000 VND</w:t>
            </w:r>
          </w:p>
        </w:tc>
        <w:tc>
          <w:tcPr>
            <w:tcW w:type="dxa" w:w="2256"/>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val="false"/>
                <w:bCs w:val="false"/>
                <w:color w:val="000000"/>
                <w:sz w:val="22"/>
                <w:szCs w:val="22"/>
              </w:rPr>
              <w:t xml:space="preserve">500.000 VND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Chi tiêu ≥ 200 triệu/năm</w:t>
            </w:r>
          </w:p>
        </w:tc>
      </w:tr>
    </w:tbl>
    <w:p>
      <w:pPr>
        <w:spacing w:before="240"/>
      </w:pPr>
    </w:p>
    <w:p>
      <w:pPr>
        <w:pStyle w:val="Heading2"/>
        <w:spacing w:after="120" w:before="240"/>
      </w:pPr>
      <w:r>
        <w:rPr>
          <w:rFonts w:ascii="Arial" w:cs="Arial" w:eastAsia="Arial" w:hAnsi="Arial"/>
          <w:b/>
          <w:bCs/>
          <w:sz w:val="28"/>
          <w:szCs w:val="28"/>
        </w:rPr>
        <w:t xml:space="preserve">4.3. Phí giao dịch khác</w:t>
      </w:r>
    </w:p>
    <w:p>
      <w:pPr>
        <w:pStyle w:val="ListParagraph"/>
        <w:numPr>
          <w:ilvl w:val="0"/>
          <w:numId w:val="2"/>
        </w:numPr>
        <w:spacing w:after="40" w:before="40"/>
      </w:pPr>
      <w:r>
        <w:rPr>
          <w:rFonts w:ascii="Arial" w:cs="Arial" w:eastAsia="Arial" w:hAnsi="Arial"/>
          <w:sz w:val="24"/>
          <w:szCs w:val="24"/>
        </w:rPr>
        <w:t xml:space="preserve">Phí rút tiền mặt nội địa: 4% số tiền rút, tối thiểu 50.000 VND</w:t>
      </w:r>
    </w:p>
    <w:p>
      <w:pPr>
        <w:pStyle w:val="ListParagraph"/>
        <w:numPr>
          <w:ilvl w:val="0"/>
          <w:numId w:val="2"/>
        </w:numPr>
        <w:spacing w:after="40" w:before="40"/>
      </w:pPr>
      <w:r>
        <w:rPr>
          <w:rFonts w:ascii="Arial" w:cs="Arial" w:eastAsia="Arial" w:hAnsi="Arial"/>
          <w:sz w:val="24"/>
          <w:szCs w:val="24"/>
        </w:rPr>
        <w:t xml:space="preserve">Phí rút tiền mặt quốc tế: 4% số tiền rút, tối thiểu 100.000 VND</w:t>
      </w:r>
    </w:p>
    <w:p>
      <w:pPr>
        <w:pStyle w:val="ListParagraph"/>
        <w:numPr>
          <w:ilvl w:val="0"/>
          <w:numId w:val="2"/>
        </w:numPr>
        <w:spacing w:after="40" w:before="40"/>
      </w:pPr>
      <w:r>
        <w:rPr>
          <w:rFonts w:ascii="Arial" w:cs="Arial" w:eastAsia="Arial" w:hAnsi="Arial"/>
          <w:sz w:val="24"/>
          <w:szCs w:val="24"/>
        </w:rPr>
        <w:t xml:space="preserve">Phí chuyển đổi ngoại tệ: 2,5% giá trị giao dịch quy đổi</w:t>
      </w:r>
    </w:p>
    <w:p>
      <w:pPr>
        <w:pStyle w:val="ListParagraph"/>
        <w:numPr>
          <w:ilvl w:val="0"/>
          <w:numId w:val="2"/>
        </w:numPr>
        <w:spacing w:after="40" w:before="40"/>
      </w:pPr>
      <w:r>
        <w:rPr>
          <w:rFonts w:ascii="Arial" w:cs="Arial" w:eastAsia="Arial" w:hAnsi="Arial"/>
          <w:sz w:val="24"/>
          <w:szCs w:val="24"/>
        </w:rPr>
        <w:t xml:space="preserve">Phí cấp lại thẻ do mất/hỏng: 50.000 VND (Classic/Gold), 100.000 VND (Platinum/Infinite)</w:t>
      </w:r>
    </w:p>
    <w:p>
      <w:pPr>
        <w:pStyle w:val="ListParagraph"/>
        <w:numPr>
          <w:ilvl w:val="0"/>
          <w:numId w:val="2"/>
        </w:numPr>
        <w:spacing w:after="40" w:before="40"/>
      </w:pPr>
      <w:r>
        <w:rPr>
          <w:rFonts w:ascii="Arial" w:cs="Arial" w:eastAsia="Arial" w:hAnsi="Arial"/>
          <w:sz w:val="24"/>
          <w:szCs w:val="24"/>
        </w:rPr>
        <w:t xml:space="preserve">Phí sao kê giấy (nếu yêu cầu): 20.000 VND/kỳ</w:t>
      </w:r>
    </w:p>
    <w:p>
      <w:pPr>
        <w:pStyle w:val="Heading1"/>
        <w:spacing w:after="180" w:before="360"/>
      </w:pPr>
      <w:r>
        <w:rPr>
          <w:rFonts w:ascii="Arial" w:cs="Arial" w:eastAsia="Arial" w:hAnsi="Arial"/>
          <w:b/>
          <w:bCs/>
          <w:sz w:val="32"/>
          <w:szCs w:val="32"/>
        </w:rPr>
        <w:t xml:space="preserve">5. THANH TOÁN VÀ SAO KÊ</w:t>
      </w:r>
    </w:p>
    <w:p>
      <w:pPr>
        <w:pStyle w:val="Heading2"/>
        <w:spacing w:after="120" w:before="240"/>
      </w:pPr>
      <w:r>
        <w:rPr>
          <w:rFonts w:ascii="Arial" w:cs="Arial" w:eastAsia="Arial" w:hAnsi="Arial"/>
          <w:b/>
          <w:bCs/>
          <w:sz w:val="28"/>
          <w:szCs w:val="28"/>
        </w:rPr>
        <w:t xml:space="preserve">5.1. Chu kỳ sao kê</w:t>
      </w:r>
    </w:p>
    <w:p>
      <w:pPr>
        <w:pStyle w:val="ListParagraph"/>
        <w:numPr>
          <w:ilvl w:val="0"/>
          <w:numId w:val="2"/>
        </w:numPr>
        <w:spacing w:after="40" w:before="40"/>
      </w:pPr>
      <w:r>
        <w:rPr>
          <w:rFonts w:ascii="Arial" w:cs="Arial" w:eastAsia="Arial" w:hAnsi="Arial"/>
          <w:sz w:val="24"/>
          <w:szCs w:val="24"/>
        </w:rPr>
        <w:t xml:space="preserve">Chu kỳ sao kê: 30 ngày, ngày chốt sao kê cố định theo ngày phát hành thẻ</w:t>
      </w:r>
    </w:p>
    <w:p>
      <w:pPr>
        <w:pStyle w:val="ListParagraph"/>
        <w:numPr>
          <w:ilvl w:val="0"/>
          <w:numId w:val="2"/>
        </w:numPr>
        <w:spacing w:after="40" w:before="40"/>
      </w:pPr>
      <w:r>
        <w:rPr>
          <w:rFonts w:ascii="Arial" w:cs="Arial" w:eastAsia="Arial" w:hAnsi="Arial"/>
          <w:sz w:val="24"/>
          <w:szCs w:val="24"/>
        </w:rPr>
        <w:t xml:space="preserve">Ngày đến hạn thanh toán: 15 ngày sau ngày chốt sao kê</w:t>
      </w:r>
    </w:p>
    <w:p>
      <w:pPr>
        <w:pStyle w:val="ListParagraph"/>
        <w:numPr>
          <w:ilvl w:val="0"/>
          <w:numId w:val="2"/>
        </w:numPr>
        <w:spacing w:after="40" w:before="40"/>
      </w:pPr>
      <w:r>
        <w:rPr>
          <w:rFonts w:ascii="Arial" w:cs="Arial" w:eastAsia="Arial" w:hAnsi="Arial"/>
          <w:sz w:val="24"/>
          <w:szCs w:val="24"/>
        </w:rPr>
        <w:t xml:space="preserve">Thông báo sao kê qua email và SMS trước ngày đến hạn 7 ngày</w:t>
      </w:r>
    </w:p>
    <w:p>
      <w:pPr>
        <w:pStyle w:val="Heading2"/>
        <w:spacing w:after="120" w:before="240"/>
      </w:pPr>
      <w:r>
        <w:rPr>
          <w:rFonts w:ascii="Arial" w:cs="Arial" w:eastAsia="Arial" w:hAnsi="Arial"/>
          <w:b/>
          <w:bCs/>
          <w:sz w:val="28"/>
          <w:szCs w:val="28"/>
        </w:rPr>
        <w:t xml:space="preserve">5.2. Mức thanh toán tối thiểu</w:t>
      </w:r>
    </w:p>
    <w:p>
      <w:pPr>
        <w:pStyle w:val="ListParagraph"/>
        <w:numPr>
          <w:ilvl w:val="0"/>
          <w:numId w:val="2"/>
        </w:numPr>
        <w:spacing w:after="40" w:before="40"/>
      </w:pPr>
      <w:r>
        <w:rPr>
          <w:rFonts w:ascii="Arial" w:cs="Arial" w:eastAsia="Arial" w:hAnsi="Arial"/>
          <w:sz w:val="24"/>
          <w:szCs w:val="24"/>
        </w:rPr>
        <w:t xml:space="preserve">5% số dư nợ cuối kỳ, tối thiểu 50.000 VND</w:t>
      </w:r>
    </w:p>
    <w:p>
      <w:pPr>
        <w:pStyle w:val="ListParagraph"/>
        <w:numPr>
          <w:ilvl w:val="0"/>
          <w:numId w:val="2"/>
        </w:numPr>
        <w:spacing w:after="40" w:before="40"/>
      </w:pPr>
      <w:r>
        <w:rPr>
          <w:rFonts w:ascii="Arial" w:cs="Arial" w:eastAsia="Arial" w:hAnsi="Arial"/>
          <w:sz w:val="24"/>
          <w:szCs w:val="24"/>
        </w:rPr>
        <w:t xml:space="preserve">Toàn bộ phần nợ quá hạn (nếu có)</w:t>
      </w:r>
    </w:p>
    <w:p>
      <w:pPr>
        <w:pStyle w:val="ListParagraph"/>
        <w:numPr>
          <w:ilvl w:val="0"/>
          <w:numId w:val="2"/>
        </w:numPr>
        <w:spacing w:after="40" w:before="40"/>
      </w:pPr>
      <w:r>
        <w:rPr>
          <w:rFonts w:ascii="Arial" w:cs="Arial" w:eastAsia="Arial" w:hAnsi="Arial"/>
          <w:sz w:val="24"/>
          <w:szCs w:val="24"/>
        </w:rPr>
        <w:t xml:space="preserve">Phí và lãi phát sinh trong kỳ</w:t>
      </w:r>
    </w:p>
    <w:p>
      <w:pPr>
        <w:pStyle w:val="Heading2"/>
        <w:spacing w:after="120" w:before="240"/>
      </w:pPr>
      <w:r>
        <w:rPr>
          <w:rFonts w:ascii="Arial" w:cs="Arial" w:eastAsia="Arial" w:hAnsi="Arial"/>
          <w:b/>
          <w:bCs/>
          <w:sz w:val="28"/>
          <w:szCs w:val="28"/>
        </w:rPr>
        <w:t xml:space="preserve">5.3. Xử lý trễ hạn</w:t>
      </w:r>
    </w:p>
    <w:p>
      <w:pPr>
        <w:pStyle w:val="ListParagraph"/>
        <w:numPr>
          <w:ilvl w:val="0"/>
          <w:numId w:val="2"/>
        </w:numPr>
        <w:spacing w:after="40" w:before="40"/>
      </w:pPr>
      <w:r>
        <w:rPr>
          <w:rFonts w:ascii="Arial" w:cs="Arial" w:eastAsia="Arial" w:hAnsi="Arial"/>
          <w:sz w:val="24"/>
          <w:szCs w:val="24"/>
        </w:rPr>
        <w:t xml:space="preserve">Phí trả chậm: 4% số tiền thanh toán tối thiểu còn thiếu, tối thiểu 50.000 VND</w:t>
      </w:r>
    </w:p>
    <w:p>
      <w:pPr>
        <w:pStyle w:val="ListParagraph"/>
        <w:numPr>
          <w:ilvl w:val="0"/>
          <w:numId w:val="2"/>
        </w:numPr>
        <w:spacing w:after="40" w:before="40"/>
      </w:pPr>
      <w:r>
        <w:rPr>
          <w:rFonts w:ascii="Arial" w:cs="Arial" w:eastAsia="Arial" w:hAnsi="Arial"/>
          <w:sz w:val="24"/>
          <w:szCs w:val="24"/>
        </w:rPr>
        <w:t xml:space="preserve">Sau 30 ngày trễ hạn: ghi nhận nợ nhóm 2, thông báo CIC</w:t>
      </w:r>
    </w:p>
    <w:p>
      <w:pPr>
        <w:pStyle w:val="ListParagraph"/>
        <w:numPr>
          <w:ilvl w:val="0"/>
          <w:numId w:val="2"/>
        </w:numPr>
        <w:spacing w:after="40" w:before="40"/>
      </w:pPr>
      <w:r>
        <w:rPr>
          <w:rFonts w:ascii="Arial" w:cs="Arial" w:eastAsia="Arial" w:hAnsi="Arial"/>
          <w:sz w:val="24"/>
          <w:szCs w:val="24"/>
        </w:rPr>
        <w:t xml:space="preserve">Sau 90 ngày trễ hạn: phong tỏa thẻ, chuyển nợ nhóm 3</w:t>
      </w:r>
    </w:p>
    <w:p>
      <w:pPr>
        <w:pStyle w:val="Heading1"/>
        <w:spacing w:after="180" w:before="360"/>
      </w:pPr>
      <w:r>
        <w:rPr>
          <w:rFonts w:ascii="Arial" w:cs="Arial" w:eastAsia="Arial" w:hAnsi="Arial"/>
          <w:b/>
          <w:bCs/>
          <w:sz w:val="32"/>
          <w:szCs w:val="32"/>
        </w:rPr>
        <w:t xml:space="preserve">6. KIỂM SOÁT RỦI RO VÀ BẢO MẬT</w:t>
      </w:r>
    </w:p>
    <w:p>
      <w:pPr>
        <w:pStyle w:val="Heading2"/>
        <w:spacing w:after="120" w:before="240"/>
      </w:pPr>
      <w:r>
        <w:rPr>
          <w:rFonts w:ascii="Arial" w:cs="Arial" w:eastAsia="Arial" w:hAnsi="Arial"/>
          <w:b/>
          <w:bCs/>
          <w:sz w:val="28"/>
          <w:szCs w:val="28"/>
        </w:rPr>
        <w:t xml:space="preserve">6.1. Giới hạn giao dịch</w:t>
      </w:r>
    </w:p>
    <w:p>
      <w:pPr>
        <w:pStyle w:val="ListParagraph"/>
        <w:numPr>
          <w:ilvl w:val="0"/>
          <w:numId w:val="2"/>
        </w:numPr>
        <w:spacing w:after="40" w:before="40"/>
      </w:pPr>
      <w:r>
        <w:rPr>
          <w:rFonts w:ascii="Arial" w:cs="Arial" w:eastAsia="Arial" w:hAnsi="Arial"/>
          <w:sz w:val="24"/>
          <w:szCs w:val="24"/>
        </w:rPr>
        <w:t xml:space="preserve">Giao dịch POS tối đa: 100% hạn mức thẻ/ngày</w:t>
      </w:r>
    </w:p>
    <w:p>
      <w:pPr>
        <w:pStyle w:val="ListParagraph"/>
        <w:numPr>
          <w:ilvl w:val="0"/>
          <w:numId w:val="2"/>
        </w:numPr>
        <w:spacing w:after="40" w:before="40"/>
      </w:pPr>
      <w:r>
        <w:rPr>
          <w:rFonts w:ascii="Arial" w:cs="Arial" w:eastAsia="Arial" w:hAnsi="Arial"/>
          <w:sz w:val="24"/>
          <w:szCs w:val="24"/>
        </w:rPr>
        <w:t xml:space="preserve">Giao dịch online tối đa: 50% hạn mức thẻ/ngày (có thể điều chỉnh qua app)</w:t>
      </w:r>
    </w:p>
    <w:p>
      <w:pPr>
        <w:pStyle w:val="ListParagraph"/>
        <w:numPr>
          <w:ilvl w:val="0"/>
          <w:numId w:val="2"/>
        </w:numPr>
        <w:spacing w:after="40" w:before="40"/>
      </w:pPr>
      <w:r>
        <w:rPr>
          <w:rFonts w:ascii="Arial" w:cs="Arial" w:eastAsia="Arial" w:hAnsi="Arial"/>
          <w:sz w:val="24"/>
          <w:szCs w:val="24"/>
        </w:rPr>
        <w:t xml:space="preserve">Rút tiền mặt tối đa: 30% hạn mức thẻ/ngày, không quá 50.000.000 VND</w:t>
      </w:r>
    </w:p>
    <w:p>
      <w:pPr>
        <w:pStyle w:val="ListParagraph"/>
        <w:numPr>
          <w:ilvl w:val="0"/>
          <w:numId w:val="2"/>
        </w:numPr>
        <w:spacing w:after="40" w:before="40"/>
      </w:pPr>
      <w:r>
        <w:rPr>
          <w:rFonts w:ascii="Arial" w:cs="Arial" w:eastAsia="Arial" w:hAnsi="Arial"/>
          <w:sz w:val="24"/>
          <w:szCs w:val="24"/>
        </w:rPr>
        <w:t xml:space="preserve">Giao dịch ngoài lãnh thổ Việt Nam: phải đăng ký trước tối thiểu 24 giờ</w:t>
      </w:r>
    </w:p>
    <w:p>
      <w:pPr>
        <w:pStyle w:val="Heading2"/>
        <w:spacing w:after="120" w:before="240"/>
      </w:pPr>
      <w:r>
        <w:rPr>
          <w:rFonts w:ascii="Arial" w:cs="Arial" w:eastAsia="Arial" w:hAnsi="Arial"/>
          <w:b/>
          <w:bCs/>
          <w:sz w:val="28"/>
          <w:szCs w:val="28"/>
        </w:rPr>
        <w:t xml:space="preserve">6.2. Phát hiện gian lận</w:t>
      </w:r>
    </w:p>
    <w:p>
      <w:pPr>
        <w:pStyle w:val="ListParagraph"/>
        <w:numPr>
          <w:ilvl w:val="0"/>
          <w:numId w:val="2"/>
        </w:numPr>
        <w:spacing w:after="40" w:before="40"/>
      </w:pPr>
      <w:r>
        <w:rPr>
          <w:rFonts w:ascii="Arial" w:cs="Arial" w:eastAsia="Arial" w:hAnsi="Arial"/>
          <w:sz w:val="24"/>
          <w:szCs w:val="24"/>
        </w:rPr>
        <w:t xml:space="preserve">Hệ thống giám sát giao dịch 24/7 với công nghệ AI phát hiện bất thường</w:t>
      </w:r>
    </w:p>
    <w:p>
      <w:pPr>
        <w:pStyle w:val="ListParagraph"/>
        <w:numPr>
          <w:ilvl w:val="0"/>
          <w:numId w:val="2"/>
        </w:numPr>
        <w:spacing w:after="40" w:before="40"/>
      </w:pPr>
      <w:r>
        <w:rPr>
          <w:rFonts w:ascii="Arial" w:cs="Arial" w:eastAsia="Arial" w:hAnsi="Arial"/>
          <w:sz w:val="24"/>
          <w:szCs w:val="24"/>
        </w:rPr>
        <w:t xml:space="preserve">Giao dịch nghi ngờ bị tạm giữ và khách hàng được thông báo ngay qua SMS/app</w:t>
      </w:r>
    </w:p>
    <w:p>
      <w:pPr>
        <w:pStyle w:val="ListParagraph"/>
        <w:numPr>
          <w:ilvl w:val="0"/>
          <w:numId w:val="2"/>
        </w:numPr>
        <w:spacing w:after="40" w:before="40"/>
      </w:pPr>
      <w:r>
        <w:rPr>
          <w:rFonts w:ascii="Arial" w:cs="Arial" w:eastAsia="Arial" w:hAnsi="Arial"/>
          <w:sz w:val="24"/>
          <w:szCs w:val="24"/>
        </w:rPr>
        <w:t xml:space="preserve">Khách hàng cần xác nhận trong vòng 30 phút; quá hạn giao dịch bị hủy tự động</w:t>
      </w:r>
    </w:p>
    <w:p>
      <w:pPr>
        <w:pStyle w:val="ListParagraph"/>
        <w:numPr>
          <w:ilvl w:val="0"/>
          <w:numId w:val="2"/>
        </w:numPr>
        <w:spacing w:after="40" w:before="40"/>
      </w:pPr>
      <w:r>
        <w:rPr>
          <w:rFonts w:ascii="Arial" w:cs="Arial" w:eastAsia="Arial" w:hAnsi="Arial"/>
          <w:sz w:val="24"/>
          <w:szCs w:val="24"/>
        </w:rPr>
        <w:t xml:space="preserve">Trách nhiệm của khách hàng trong trường hợp gian lận: tối đa 1.000.000 VND nếu đã tuân thủ quy định bảo mật</w:t>
      </w:r>
    </w:p>
    <w:p>
      <w:pPr>
        <w:spacing w:before="480"/>
      </w:pPr>
    </w:p>
    <w:p>
      <w:pPr>
        <w:jc w:val="center"/>
      </w:pPr>
      <w:r>
        <w:rPr>
          <w:rFonts w:ascii="Arial" w:cs="Arial" w:eastAsia="Arial" w:hAnsi="Arial"/>
          <w:i/>
          <w:iCs/>
          <w:color w:val="888888"/>
          <w:sz w:val="20"/>
          <w:szCs w:val="20"/>
        </w:rPr>
        <w:t xml:space="preserve">Tài liệu này có hiệu lực từ ngày 01/03/2024. Mọi phiên bản trước đây đều hết hiệu lực.</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Mã tài liệu: VDB-CARD-002 | Phiên bản: 1.4 | Hiệu lực: 01/03/2024    Trang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NGÂN HÀNG TMCP PHÁT TRIỂN VIỆT NAM — TÀI LIỆU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471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2026-06-04T11:37:07.775Z</dcterms:created>
  <dcterms:modified xsi:type="dcterms:W3CDTF">2026-06-04T11:37:07.775Z</dcterms:modified>
</cp:coreProperties>
</file>

<file path=docProps/custom.xml><?xml version="1.0" encoding="utf-8"?>
<Properties xmlns="http://schemas.openxmlformats.org/officeDocument/2006/custom-properties" xmlns:vt="http://schemas.openxmlformats.org/officeDocument/2006/docPropsVTypes"/>
</file>