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Relative Clauses</w:t>
      </w:r>
    </w:p>
    <w:p>
      <w:r>
        <w:rPr>
          <w:sz w:val="24"/>
        </w:rPr>
        <w:t>Relative clauses provide additional information about a noun in the main clause, introduced by relative pronouns such as who, which, that, whose, and whom. Defining relative clauses give essential information to identify the noun and are not separated by commas, for example: 'The book that I borrowed is fascinating.'</w:t>
      </w:r>
    </w:p>
    <w:p>
      <w:r>
        <w:rPr>
          <w:sz w:val="24"/>
        </w:rPr>
        <w:t>Non-defining relative clauses provide extra, non-essential information and are always separated by commas; 'that' cannot be used in this type of clause. For example: 'My brother, who lives in Da Nang, is a doctor,' where the relative clause simply adds extra detail about a brother already identified.</w:t>
      </w:r>
    </w:p>
    <w:p>
      <w:r>
        <w:rPr>
          <w:sz w:val="24"/>
        </w:rPr>
        <w:t>Relative pronouns can sometimes be omitted when they function as the object of the relative clause (contact clauses), for example 'The film (that) we watched last night was amazing.' However, the relative pronoun cannot be omitted when it acts as the subject of the relative clause.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2026-07-02T23:29:47Z</dcterms:created>
  <dc:creator>Apache POI</dc:creator>
</cp:coreProperties>
</file>