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Khí hậu nhiệt đới ẩm gió mùa</w:t>
      </w:r>
    </w:p>
    <w:p>
      <w:r>
        <w:rPr>
          <w:sz w:val="24"/>
        </w:rPr>
        <w:t>I. KIẾN THỨC TRỌNG TÂM — Khí hậu Việt Nam mang tính chất nhiệt đới ẩm gió mùa với nền nhiệt độ trung bình năm cao trên 20°C ở hầu hết cả nước, tổng lượng bức xạ lớn, cân bằng bức xạ dương quanh năm, độ ẩm không khí cao trên 80% và lượng mưa lớn, trung bình từ 1.500 đến 2.000 mm mỗi năm.</w:t>
      </w:r>
    </w:p>
    <w:p>
      <w:r>
        <w:rPr>
          <w:sz w:val="24"/>
        </w:rPr>
        <w:t>II. PHÂN TÍCH VÀ MỞ RỘNG — Gió mùa là nhân tố chi phối mạnh mẽ khí hậu nước ta, gồm gió mùa mùa đông (gió mùa Đông Bắc) thổi từ áp cao Xibia mang lại thời tiết lạnh khô vào đầu mùa và lạnh ẩm vào cuối mùa cho miền Bắc, và gió mùa mùa hạ mang lại thời tiết nóng ẩm, mưa nhiều cho cả nước.</w:t>
      </w:r>
    </w:p>
    <w:p>
      <w:r>
        <w:rPr>
          <w:sz w:val="24"/>
        </w:rPr>
        <w:t>III. VẬN DỤNG — Khí hậu Việt Nam có sự phân hóa đa dạng theo chiều Bắc - Nam (miền Bắc có mùa đông lạnh, miền Nam nóng quanh năm), theo độ cao (vùng núi cao có khí hậu mát mẻ, cận nhiệt hoặc ôn đới) và theo mùa, tạo nên tính đa dạng sinh học và cơ cấu mùa vụ nông nghiệp phong phú.</w:t>
      </w:r>
    </w:p>
    <w:p>
      <w:r>
        <w:rPr>
          <w:sz w:val="24"/>
        </w:rPr>
        <w:t>IV. VÍ DỤ CÓ HƯỚNG DẪN — Xét một tình huống tiêu biểu của bài “Khí hậu nhiệt đới ẩm gió mùa”. Trước hết xác định dữ kiện, khái niệm hoặc quy tắc liên quan; tiếp theo lựa chọn phương pháp, trình bày từng bước và kiểm tra điều kiện áp dụng. Sau khi có kết quả, đối chiếu lại với yêu cầu, giải thích ý nghĩa và chỉ ra lỗi sai thường gặp. Cách làm này giúp học sinh không chỉ ghi nhớ đáp án mà còn hình thành quy trình giải quyết vấn đề có thể dùng cho các câu hỏi tương tự.</w:t>
      </w:r>
    </w:p>
    <w:p>
      <w:r>
        <w:rPr>
          <w:sz w:val="24"/>
        </w:rPr>
        <w:t>V. BÀI TẬP LUYỆN TẬP — Bài 1: trình bày lại nội dung cốt lõi bằng sơ đồ hoặc bảng so sánh. Bài 2: giải một trường hợp cơ bản và giải thích từng bước. Bài 3: thay đổi một dữ kiện của ví dụ để dự đoán kết quả mới. Bài 4: tìm và sửa một lời giải hoặc nhận định sai. Bài 5: liên hệ kiến thức với một hiện tượng trong học tập hoặc đời sống. Học sinh nên làm độc lập trước, sau đó trao đổi cách giải và tự chấm theo tiêu chí đúng kiến thức, đủ lập luận, rõ trình bày.</w:t>
      </w:r>
    </w:p>
    <w:p>
      <w:r>
        <w:rPr>
          <w:sz w:val="24"/>
        </w:rPr>
        <w:t>VI. TỔNG KẾT VÀ TỰ HỌC — Sau bài học, học sinh cần tự trả lời được ba câu hỏi: kiến thức nào là nền tảng, dấu hiệu nào cho biết nên áp dụng kiến thức đó, và làm thế nào kiểm tra kết quả. Hãy lập một trang ghi chú gồm từ khóa, công thức hoặc luận điểm chính, một ví dụ mẫu và một lỗi dễ mắc. Ôn lại sau một ngày và một tuần, đồng thời tự tạo thêm câu hỏi vận dụng để củng cố khả năng nhớ lâu và sử dụng kiến thức linh hoạt.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2026-07-11T22:41:08Z</dcterms:created>
  <dc:creator>Apache POI</dc:creator>
</cp:coreProperties>
</file>