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Quy luật di truyền Mendel</w:t>
      </w:r>
    </w:p>
    <w:p>
      <w:r>
        <w:rPr>
          <w:sz w:val="24"/>
        </w:rPr>
        <w:t>I. KIẾN THỨC TRỌNG TÂM — Quy luật phân li của Mendel phát biểu rằng mỗi tính trạng do một cặp nhân tố di truyền (alen) quy định, khi giảm phân tạo giao tử, mỗi giao tử chỉ chứa một trong hai alen của cặp, và các alen này tổ hợp lại một cách ngẫu nhiên khi thụ tinh, tạo nên các kiểu tổ hợp khác nhau ở đời con.</w:t>
      </w:r>
    </w:p>
    <w:p>
      <w:r>
        <w:rPr>
          <w:sz w:val="24"/>
        </w:rPr>
        <w:t>II. PHÂN TÍCH VÀ MỞ RỘNG — Quy luật phân li độc lập phát biểu rằng các cặp nhân tố di truyền quy định các tính trạng khác nhau phân li độc lập với nhau trong quá trình hình thành giao tử, với điều kiện các gen quy định các tính trạng nằm trên các cặp nhiễm sắc thể tương đồng khác nhau.</w:t>
      </w:r>
    </w:p>
    <w:p>
      <w:r>
        <w:rPr>
          <w:sz w:val="24"/>
        </w:rPr>
        <w:t>III. VẬN DỤNG — Từ hai quy luật cơ bản trên, Mendel đã giải thích được tỉ lệ phân li kiểu hình 3:1 ở lai một cặp tính trạng và tỉ lệ 9:3:3:1 ở lai hai cặp tính trạng trong các thí nghiệm lai giống đậu Hà Lan, đặt nền móng cho di truyền học hiện đại.</w:t>
      </w:r>
    </w:p>
    <w:p>
      <w:r>
        <w:rPr>
          <w:sz w:val="24"/>
        </w:rPr>
        <w:t>IV. VÍ DỤ CÓ HƯỚNG DẪN — Xét một tình huống tiêu biểu của bài “Quy luật di truyền Mendel”. Trước hết xác định dữ kiện, khái niệm hoặc quy tắc liên quan; tiếp theo lựa chọn phương pháp, trình bày từng bước và kiểm tra điều kiện áp dụng. Sau khi có kết quả, đối chiếu lại với yêu cầu, giải thích ý nghĩa và chỉ ra lỗi sai thường gặp. Cách làm này giúp học sinh không chỉ ghi nhớ đáp án mà còn hình thành quy trình giải quyết vấn đề có thể dùng cho các câu hỏi tương tự.</w:t>
      </w:r>
    </w:p>
    <w:p>
      <w:r>
        <w:rPr>
          <w:sz w:val="24"/>
        </w:rPr>
        <w:t>V. BÀI TẬP LUYỆN TẬP — Bài 1: trình bày lại nội dung cốt lõi bằng sơ đồ hoặc bảng so sánh. Bài 2: giải một trường hợp cơ bản và giải thích từng bước. Bài 3: thay đổi một dữ kiện của ví dụ để dự đoán kết quả mới. Bài 4: tìm và sửa một lời giải hoặc nhận định sai. Bài 5: liên hệ kiến thức với một hiện tượng trong học tập hoặc đời sống. Học sinh nên làm độc lập trước, sau đó trao đổi cách giải và tự chấm theo tiêu chí đúng kiến thức, đủ lập luận, rõ trình bày.</w:t>
      </w:r>
    </w:p>
    <w:p>
      <w:r>
        <w:rPr>
          <w:sz w:val="24"/>
        </w:rPr>
        <w:t>VI. TỔNG KẾT VÀ TỰ HỌC — Sau bài học, học sinh cần tự trả lời được ba câu hỏi: kiến thức nào là nền tảng, dấu hiệu nào cho biết nên áp dụng kiến thức đó, và làm thế nào kiểm tra kết quả. Hãy lập một trang ghi chú gồm từ khóa, công thức hoặc luận điểm chính, một ví dụ mẫu và một lỗi dễ mắc. Ôn lại sau một ngày và một tuần, đồng thời tự tạo thêm câu hỏi vận dụng để củng cố khả năng nhớ lâu và sử dụng kiến thức linh hoạt.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2026-07-11T22:41:08Z</dcterms:created>
  <dc:creator>Apache POI</dc:creator>
</cp:coreProperties>
</file>