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Định luật bảo toàn động lượng</w:t>
      </w:r>
    </w:p>
    <w:p>
      <w:r>
        <w:rPr>
          <w:sz w:val="24"/>
        </w:rPr>
        <w:t>Động lượng của một vật là đại lượng vectơ p = mv, có cùng hướng với vận tốc. Trong một hệ kín (không chịu tác dụng của ngoại lực hoặc tổng ngoại lực bằng 0), tổng động lượng của hệ được bảo toàn theo thời gian, đây là một trong những định luật bảo toàn cơ bản nhất của cơ học.</w:t>
      </w:r>
    </w:p>
    <w:p>
      <w:r>
        <w:rPr>
          <w:sz w:val="24"/>
        </w:rPr>
        <w:t>Định luật bảo toàn động lượng được ứng dụng trực tiếp để phân tích va chạm giữa các vật. Trong va chạm mềm (va chạm hoàn toàn không đàn hồi), hai vật dính vào nhau sau va chạm và chuyển động với cùng vận tốc; trong va chạm đàn hồi, cả động lượng và động năng của hệ đều được bảo toàn.</w:t>
      </w:r>
    </w:p>
    <w:p>
      <w:r>
        <w:rPr>
          <w:sz w:val="24"/>
        </w:rPr>
        <w:t>Nguyên lý chuyển động bằng phản lực của tên lửa cũng dựa trên bảo toàn động lượng: khí phụt ra phía sau với động lượng lớn khiến tên lửa nhận được động lượng ngược chiều để tiến về phía trước, minh họa rõ ràng cho định luật III Newton kết hợp với bảo toàn động lượng trong hệ kín.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2026-07-02T23:29:46Z</dcterms:created>
  <dc:creator>Apache POI</dc:creator>
</cp:coreProperties>
</file>