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500"/>
        <w:jc w:val="center"/>
      </w:pPr>
      <w:r>
        <w:rPr>
          <w:b/>
          <w:bCs/>
          <w:color w:val="595959"/>
          <w:sz w:val="36"/>
          <w:szCs w:val="36"/>
        </w:rPr>
        <w:t xml:space="preserve">Case Study</w:t>
      </w:r>
    </w:p>
    <w:p>
      <w:pPr>
        <w:spacing w:after="180"/>
        <w:jc w:val="center"/>
      </w:pPr>
      <w:r>
        <w:rPr>
          <w:b/>
          <w:bCs/>
          <w:color w:val="1F3864"/>
          <w:sz w:val="44"/>
          <w:szCs w:val="44"/>
        </w:rPr>
        <w:t xml:space="preserve">Trade Reconciliation Automation</w:t>
      </w:r>
    </w:p>
    <w:p>
      <w:pPr>
        <w:spacing w:after="600"/>
        <w:jc w:val="center"/>
      </w:pPr>
      <w:r>
        <w:rPr>
          <w:i/>
          <w:iCs/>
          <w:color w:val="595959"/>
          <w:sz w:val="26"/>
          <w:szCs w:val="26"/>
        </w:rPr>
        <w:t xml:space="preserve">From an Excel bottleneck to an AI-assisted investigation pipeline</w:t>
      </w:r>
    </w:p>
    <w:p>
      <w:pPr>
        <w:spacing w:after="80" w:before="600"/>
        <w:jc w:val="center"/>
      </w:pPr>
      <w:r>
        <w:rPr>
          <w:b/>
          <w:bCs/>
          <w:sz w:val="24"/>
          <w:szCs w:val="24"/>
        </w:rPr>
        <w:t xml:space="preserve">Mai Nguyen Quynh</w:t>
      </w:r>
    </w:p>
    <w:p>
      <w:pPr>
        <w:spacing w:after="80"/>
        <w:jc w:val="center"/>
      </w:pPr>
      <w:r>
        <w:rPr>
          <w:color w:val="595959"/>
          <w:sz w:val="22"/>
          <w:szCs w:val="22"/>
        </w:rPr>
        <w:t xml:space="preserve">Self-initiated portfolio project | April 2026</w:t>
      </w:r>
    </w:p>
    <w:p>
      <w:pPr>
        <w:spacing w:after="80"/>
        <w:jc w:val="center"/>
      </w:pPr>
      <w:r>
        <w:rPr>
          <w:i/>
          <w:iCs/>
          <w:color w:val="595959"/>
          <w:sz w:val="22"/>
          <w:szCs w:val="22"/>
        </w:rPr>
        <w:t xml:space="preserve">Repository: github.com/&lt;your-username&gt;/trade-reconciliation-automation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</w:rPr>
        <w:t xml:space="preserve">Executive summary</w:t>
      </w:r>
    </w:p>
    <w:p>
      <w:pPr>
        <w:spacing w:after="140"/>
        <w:jc w:val="both"/>
      </w:pPr>
      <w:r>
        <w:t xml:space="preserve">A self-built portfolio project that re-engineers a middle-office reconciliation workflow using Python, structured AI prompting, and tiered reporting. On a 10,000-trade synthetic dataset the pipeline detects 600 breaks, classifies each by root cause, prioritises by financial impact and age, and produces a five-section investigation report with AI-drafted narratives — at a cost of roughly five cents per run.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Trade lines reconciled</w:t>
            </w:r>
          </w:p>
        </w:tc>
        <w:tc>
          <w:tcPr>
            <w:tcW w:type="dxa" w:w="4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10,100</w:t>
            </w:r>
          </w:p>
        </w:tc>
      </w:tr>
      <w:tr>
        <w:tc>
          <w:tcPr>
            <w:tcW w:type="dxa" w:w="4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Matched lines</w:t>
            </w:r>
          </w:p>
        </w:tc>
        <w:tc>
          <w:tcPr>
            <w:tcW w:type="dxa" w:w="4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9,500</w:t>
            </w:r>
          </w:p>
        </w:tc>
      </w:tr>
      <w:tr>
        <w:tc>
          <w:tcPr>
            <w:tcW w:type="dxa" w:w="4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Breaks identified</w:t>
            </w:r>
          </w:p>
        </w:tc>
        <w:tc>
          <w:tcPr>
            <w:tcW w:type="dxa" w:w="4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600 (across 5 root-cause categories)</w:t>
            </w:r>
          </w:p>
        </w:tc>
      </w:tr>
      <w:tr>
        <w:tc>
          <w:tcPr>
            <w:tcW w:type="dxa" w:w="4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STP rate detected</w:t>
            </w:r>
          </w:p>
        </w:tc>
        <w:tc>
          <w:tcPr>
            <w:tcW w:type="dxa" w:w="4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94.06%</w:t>
            </w:r>
          </w:p>
        </w:tc>
      </w:tr>
      <w:tr>
        <w:tc>
          <w:tcPr>
            <w:tcW w:type="dxa" w:w="4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Aged breaks (&gt;5 days, settlement risk)</w:t>
            </w:r>
          </w:p>
        </w:tc>
        <w:tc>
          <w:tcPr>
            <w:tcW w:type="dxa" w:w="4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227</w:t>
            </w:r>
          </w:p>
        </w:tc>
      </w:tr>
      <w:tr>
        <w:tc>
          <w:tcPr>
            <w:tcW w:type="dxa" w:w="4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recon time (extrapolated)</w:t>
            </w:r>
          </w:p>
        </w:tc>
        <w:tc>
          <w:tcPr>
            <w:tcW w:type="dxa" w:w="4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~45 minutes per 100 trades</w:t>
            </w:r>
          </w:p>
        </w:tc>
      </w:tr>
      <w:tr>
        <w:tc>
          <w:tcPr>
            <w:tcW w:type="dxa" w:w="4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runtime</w:t>
            </w:r>
          </w:p>
        </w:tc>
        <w:tc>
          <w:tcPr>
            <w:tcW w:type="dxa" w:w="4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&lt;2 seconds for 10,000 trades</w:t>
            </w:r>
          </w:p>
        </w:tc>
      </w:tr>
      <w:tr>
        <w:tc>
          <w:tcPr>
            <w:tcW w:type="dxa" w:w="4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Implied speedup</w:t>
            </w:r>
          </w:p>
        </w:tc>
        <w:tc>
          <w:tcPr>
            <w:tcW w:type="dxa" w:w="4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~1,800x</w:t>
            </w:r>
          </w:p>
        </w:tc>
      </w:tr>
      <w:tr>
        <w:tc>
          <w:tcPr>
            <w:tcW w:type="dxa" w:w="4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report cost — naive (600 calls)</w:t>
            </w:r>
          </w:p>
        </w:tc>
        <w:tc>
          <w:tcPr>
            <w:tcW w:type="dxa" w:w="4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~$2.00 per run</w:t>
            </w:r>
          </w:p>
        </w:tc>
      </w:tr>
      <w:tr>
        <w:tc>
          <w:tcPr>
            <w:tcW w:type="dxa" w:w="4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report cost — batched (2 calls)</w:t>
            </w:r>
          </w:p>
        </w:tc>
        <w:tc>
          <w:tcPr>
            <w:tcW w:type="dxa" w:w="4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~$0.05 per run (97% reduction)</w:t>
            </w:r>
          </w:p>
        </w:tc>
      </w:tr>
      <w:tr>
        <w:tc>
          <w:tcPr>
            <w:tcW w:type="dxa" w:w="4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 5% of breaks share of total risk</w:t>
            </w:r>
          </w:p>
        </w:tc>
        <w:tc>
          <w:tcPr>
            <w:tcW w:type="dxa" w:w="4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32.5% (Pareto held)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</w:rPr>
        <w:t xml:space="preserve">1. Context — why reconciliation is the heartbeat of middle-office operations</w:t>
      </w:r>
    </w:p>
    <w:p>
      <w:pPr>
        <w:spacing w:after="140"/>
        <w:jc w:val="both"/>
      </w:pPr>
      <w:r>
        <w:t xml:space="preserve">Reconciliation is not a back-office hygiene step. In a trading environment, it is the control that protects the integrity of every downstream system: settlement, risk, regulatory reporting, profit and loss. A single mismatched trade can cascade quickly. A quantity break that goes unnoticed for two days can become a settlement fail, then a CSDR penalty, then a counterparty dispute, then a margin call. In financial data, a one-cent error scaled across 10,000 trades is significant; in derivatives or large blocks, a single break can wipe out a day's revenue. Reconciliation is the line of defence between the front office's view of the world and the custodian's. When it works, no one notices. When it fails, money is lost.</w:t>
      </w:r>
    </w:p>
    <w:p>
      <w:pPr>
        <w:spacing w:after="140"/>
        <w:jc w:val="both"/>
      </w:pPr>
      <w:r>
        <w:t xml:space="preserve">Under the move to T+1 settlement, the time available to find and resolve breaks has been compressed dramatically. Pre-T+1, a break discovered on T+1 morning could often be cleaned up before settlement on T+2. Today, the same break leaves only hours to resolve before the trade fails. Speed is no longer a luxury; it is a compliance requirement. Manual processes that worked at T+3 simply do not survive at T+1.</w:t>
      </w:r>
    </w:p>
    <w:p>
      <w:pPr>
        <w:spacing w:after="140"/>
        <w:jc w:val="both"/>
      </w:pPr>
      <w:r>
        <w:t xml:space="preserve">This is the operating environment that pushed me to build a reconciliation pipeline that demonstrates four things: scale, speed, intelligent prioritisation, and AI-assisted investigation.</w:t>
      </w:r>
    </w:p>
    <w:p>
      <w:pPr>
        <w:pStyle w:val="Heading1"/>
        <w:spacing w:after="200" w:before="320"/>
      </w:pPr>
      <w:r>
        <w:rPr>
          <w:b/>
          <w:bCs/>
        </w:rPr>
        <w:t xml:space="preserve">2. Problem — Excel does not scale</w:t>
      </w:r>
    </w:p>
    <w:p>
      <w:pPr>
        <w:spacing w:after="140"/>
        <w:jc w:val="both"/>
      </w:pPr>
      <w:r>
        <w:t xml:space="preserve">The first instinct of most ops analysts is to reach for Excel. With XLOOKUP and conditional formatting, a careful analyst can reconcile around 100 trades in 45 minutes — fast enough for small books, but the maths breaks down quickly. At a brokerage processing 10,000 trades a day, manual reconciliation would take roughly 75 hours of analyst time per day. That is not a workflow problem; it is a non-starter.</w:t>
      </w:r>
    </w:p>
    <w:p>
      <w:pPr>
        <w:spacing w:after="140"/>
        <w:jc w:val="both"/>
      </w:pPr>
      <w:r>
        <w:t xml:space="preserve">The deeper issue is consistency. Manual reconciliation introduces human error: missed rows, ignored tolerance breaches, fatigue-induced misjudgements late in the day. None of those are acceptable when the data downstream is feeding settlement instructions and regulatory reports.</w:t>
      </w:r>
    </w:p>
    <w:p>
      <w:pPr>
        <w:pStyle w:val="Heading2"/>
        <w:spacing w:after="140" w:before="240"/>
      </w:pPr>
      <w:r>
        <w:rPr>
          <w:b/>
          <w:bCs/>
        </w:rPr>
        <w:t xml:space="preserve">Inspiration — DTCC and the post-trade automation playbook</w:t>
      </w:r>
    </w:p>
    <w:p>
      <w:pPr>
        <w:spacing w:after="140"/>
        <w:jc w:val="both"/>
      </w:pPr>
      <w:r>
        <w:t xml:space="preserve">DTCC's industry-level work on automating post-trade matching (CTM, ITP, central counterparty matching) sets the precedent: the only way the industry meets T+1 is by removing humans from the routine 95% of trade-lifecycle work, so analysts can focus on the genuinely exceptional 5%. This project is a small, single-shop version of that thesis.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</w:rPr>
        <w:t xml:space="preserve">3. Approach</w:t>
      </w:r>
    </w:p>
    <w:p>
      <w:pPr>
        <w:spacing w:after="140"/>
        <w:jc w:val="both"/>
      </w:pPr>
      <w:r>
        <w:t xml:space="preserve">I broke the build into five deliberate steps, each producing a file the next step could consume. This is the same architecture used by professional data engineers — separation of concerns, debuggable at every stage, and resumable when something goes wrong.</w:t>
      </w:r>
    </w:p>
    <w:p>
      <w:pPr>
        <w:pStyle w:val="Heading2"/>
        <w:spacing w:after="140" w:before="240"/>
      </w:pPr>
      <w:r>
        <w:rPr>
          <w:b/>
          <w:bCs/>
        </w:rPr>
        <w:t xml:space="preserve">3.1 Synthetic dataset</w:t>
      </w:r>
    </w:p>
    <w:p>
      <w:pPr>
        <w:spacing w:after="140"/>
        <w:jc w:val="both"/>
      </w:pPr>
      <w:r>
        <w:t xml:space="preserve">generate_data.py produces 10,000 trades on the internal book and 10,000 on the custodian side, with 5% deliberately broken across 5 categories: quantity mismatch, price tolerance break (&gt;2bp), missing on internal, missing on custodian, and duplicates on the custodian side. A fixed random seed ensures reproducibility — the same dataset every run, so I can verify that fixes do not break previously working logic.</w:t>
      </w:r>
    </w:p>
    <w:p>
      <w:pPr>
        <w:pStyle w:val="Heading2"/>
        <w:spacing w:after="140" w:before="240"/>
      </w:pPr>
      <w:r>
        <w:rPr>
          <w:b/>
          <w:bCs/>
        </w:rPr>
        <w:t xml:space="preserve">3.2 Reconciliation engine</w:t>
      </w:r>
    </w:p>
    <w:p>
      <w:pPr>
        <w:spacing w:after="140"/>
        <w:jc w:val="both"/>
      </w:pPr>
      <w:r>
        <w:t xml:space="preserve">reconcile.py performs an outer merge on trade_id, classifies each row using a deterministic rules engine, and ages the resulting breaks. It outputs breaks.csv and a reconcile_summary.json for downstream dashboards.</w:t>
      </w:r>
    </w:p>
    <w:p>
      <w:pPr>
        <w:pStyle w:val="Heading2"/>
        <w:spacing w:after="140" w:before="240"/>
      </w:pPr>
      <w:r>
        <w:rPr>
          <w:b/>
          <w:bCs/>
        </w:rPr>
        <w:t xml:space="preserve">3.3 Categorisation logic</w:t>
      </w:r>
    </w:p>
    <w:p>
      <w:pPr>
        <w:spacing w:after="140"/>
        <w:jc w:val="both"/>
      </w:pPr>
      <w:r>
        <w:t xml:space="preserve">Each break is tagged with its root cause: QTY_DIFF, PRICE_TOL, MISSING_INT, MISSING_CUST, or DUP. This single column is what enables every later step — the dashboard pivots, the priority scoring, and the AI playbook lookup.</w:t>
      </w:r>
    </w:p>
    <w:p>
      <w:pPr>
        <w:pStyle w:val="Heading2"/>
        <w:spacing w:after="140" w:before="240"/>
      </w:pPr>
      <w:r>
        <w:rPr>
          <w:b/>
          <w:bCs/>
        </w:rPr>
        <w:t xml:space="preserve">3.4 Excel dashboard</w:t>
      </w:r>
    </w:p>
    <w:p>
      <w:pPr>
        <w:spacing w:after="140"/>
        <w:jc w:val="both"/>
      </w:pPr>
      <w:r>
        <w:t xml:space="preserve">dashboard.xlsx is the data layer for managers. Four KPIs (total breaks, STP rate, aged breaks &gt;5d, matched lines), three charts (breaks by category, aging distribution, breaks by counterparty), and a top-10 aged breaks table. Dashboard formulas reference a Summary sheet, which references the Data sheet — change the underlying data and every chart and KPI refreshes automatically.</w:t>
      </w:r>
    </w:p>
    <w:p>
      <w:pPr>
        <w:pStyle w:val="Heading2"/>
        <w:spacing w:after="140" w:before="240"/>
      </w:pPr>
      <w:r>
        <w:rPr>
          <w:b/>
          <w:bCs/>
        </w:rPr>
        <w:t xml:space="preserve">3.5 AI-assisted investigation layer</w:t>
      </w:r>
    </w:p>
    <w:p>
      <w:pPr>
        <w:spacing w:after="140"/>
        <w:jc w:val="both"/>
      </w:pPr>
      <w:r>
        <w:t xml:space="preserve">This is where the project earns the 'AI in operations' label. Three design decisions made the difference between a naive implementation and a production-grade one.</w:t>
      </w:r>
    </w:p>
    <w:p>
      <w:pPr>
        <w:spacing w:after="140"/>
        <w:jc w:val="both"/>
      </w:pPr>
      <w:r>
        <w:t xml:space="preserve">Priority scoring. Each break gets a score of financial_impact x age_weight, where aged breaks count ten times more than fresh ones because they directly threaten T+1 settlement. The top 5% of breaks (~30 rows) capture roughly 32.5% of total risk — that is where the AI tokens should be spent.</w:t>
      </w:r>
    </w:p>
    <w:p>
      <w:pPr>
        <w:spacing w:after="140"/>
        <w:jc w:val="both"/>
      </w:pPr>
      <w:r>
        <w:t xml:space="preserve">Grouped playbooks instead of per-break narratives. Breaks of the same category share resolution patterns; the playbook for MISSING_CUST is largely the same whether you have 1 break or 100. Generating one playbook per category (5 in total) and applying it to the long tail is dramatically more efficient than asking the AI to re-derive resolution logic 600 times.</w:t>
      </w:r>
    </w:p>
    <w:p>
      <w:pPr>
        <w:spacing w:after="140"/>
        <w:jc w:val="both"/>
      </w:pPr>
      <w:r>
        <w:t xml:space="preserve">Batched API calls. Two calls instead of 600. Call 1 generates the 5 category playbooks. Call 2 generates 5 deep narratives (RED tier) and 20 one-line narratives (AMBER tier) in a single batched request, returning structured JSON. Same coherent output, ~95% lower cost.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</w:rPr>
        <w:t xml:space="preserve">4. Solution</w:t>
      </w:r>
    </w:p>
    <w:p>
      <w:pPr>
        <w:pStyle w:val="Heading2"/>
        <w:spacing w:after="140" w:before="240"/>
      </w:pPr>
      <w:r>
        <w:rPr>
          <w:b/>
          <w:bCs/>
        </w:rPr>
        <w:t xml:space="preserve">4.1 Architecture</w:t>
      </w:r>
    </w:p>
    <w:p>
      <w:pPr>
        <w:spacing w:after="140"/>
        <w:jc w:val="both"/>
      </w:pPr>
      <w:r>
        <w:t xml:space="preserve">The pipeline runs in three layers: a data layer that produces the input files, an engine layer that does the matching and prioritisation, and an output layer that produces the analyst- and manager-facing artefacts.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 LAYER             ENGINE LAYER             OUTPUT LAYER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===========            ============             ============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trades_internal.csv    reconcile.py             breaks.csv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trades_custodian.csv      |                     reconcile_summary.json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v                                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priority_score.py        breaks_prioritised.csv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|                                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v                                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generate_report.py       break_investigation_report.md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(2 batched API calls)    break_worklist.csv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dashboard.xlsx (managerial KPIs)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40" w:before="240"/>
      </w:pPr>
      <w:r>
        <w:rPr>
          <w:b/>
          <w:bCs/>
        </w:rPr>
        <w:t xml:space="preserve">4.2 The reconciliation logic</w:t>
      </w:r>
    </w:p>
    <w:p>
      <w:pPr>
        <w:spacing w:after="140"/>
        <w:jc w:val="both"/>
      </w:pPr>
      <w:r>
        <w:t xml:space="preserve">The heart of the engine is roughly twenty lines of pandas. Outer merge on trade_id, then a stack of if/then rules to assign a category.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merged = internal.merge(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custodian, on='trade_id',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how='outer', suffixes=('_int','_cust'),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indicator=True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categorise(row):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row['trade_id'] in all_dups:               return 'DUP'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row['_merge'] == 'left_only':              return 'MISSING_CUST'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row['_merge'] == 'right_only':             return 'MISSING_INT'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row['quantity_int'] != row['quantity_cust']:  return 'QTY_DIFF'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abs(row['price_int'] - row['price_cust']) / row['price_int'] &gt; 0.0002: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'PRICE_TOL'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'MATCHED'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40" w:before="240"/>
      </w:pPr>
      <w:r>
        <w:rPr>
          <w:b/>
          <w:bCs/>
        </w:rPr>
        <w:t xml:space="preserve">4.3 Tiered output report</w:t>
      </w:r>
    </w:p>
    <w:p>
      <w:pPr>
        <w:spacing w:after="140"/>
        <w:jc w:val="both"/>
      </w:pPr>
      <w:r>
        <w:t xml:space="preserve">The investigation report uses a tiered structure that respects the reader's time: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Section 1 — Executive brief: 1 page. Total risk, the 5 RED-tier breaks inline, aging snapshot. The page a manager scans at 8am.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Section 2 — Priority worklist: top 25 breaks in a compact table with one-line narratives. Same data is exported as break_worklist.csv for analyst Excel-based triage.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Section 3 — RED tier deep dives: 5 cards with full analyst narrative + side-by-side internal vs custodian field comparison.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Section 4 — Long-tail summary: 575 trades aggregated by category, deferring to the playbooks below.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Section 5 — Reference appendix: the 5 category playbooks (typical root cause, resolution steps, primary contact, expected resolution time, escalation trigger).</w:t>
      </w:r>
    </w:p>
    <w:p>
      <w:pPr>
        <w:spacing w:after="140"/>
        <w:jc w:val="both"/>
      </w:pPr>
      <w:r>
        <w:rPr>
          <w:i/>
          <w:iCs/>
          <w:color w:val="808080"/>
        </w:rPr>
        <w:t xml:space="preserve">[Insert dashboard screenshot and report screenshot here in the GitHub README and the printed case study.]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</w:rPr>
        <w:t xml:space="preserve">5. Results</w:t>
      </w:r>
    </w:p>
    <w:p>
      <w:pPr>
        <w:spacing w:after="140"/>
        <w:jc w:val="both"/>
      </w:pPr>
      <w:r>
        <w:t xml:space="preserve">Concrete, measurable numbers — the kind hiring managers want me to be able to quote.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automation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After automation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Delta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Reconciliation runtime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~75 hours / 10k trades (manual)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&lt;2 seconds / 10k trades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~1,800x faster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Break investigation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Analyst eyeballs each row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 25 prioritised + AI narratives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Focus time spent on the 5% that matters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 cost (per run)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 (it does not exist)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~$0.05 (Sonnet) or ~$0.01 (Haiku)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Cheap enough to run nightly per desk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Manager scan time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 30+ pages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1-page exec brief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10x faster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 concentration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Untracked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 5% breaks = 32.5% of risk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Explicit Pareto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cost vs naive design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$2.00 / run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$0.05 / run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97% reduction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40"/>
        <w:jc w:val="both"/>
      </w:pPr>
      <w:r>
        <w:t xml:space="preserve">Output deliverables in the repository: a Python pipeline (generate_data.py, reconcile.py, priority_score.py, generate_report.py), an Excel dashboard (dashboard.xlsx), a tiered markdown investigation report (break_investigation_report.md), an analyst-ready CSV worklist (break_worklist.csv), and the supporting documentation.</w:t>
      </w:r>
    </w:p>
    <w:p>
      <w:pPr>
        <w:pStyle w:val="Heading1"/>
        <w:spacing w:after="200" w:before="320"/>
      </w:pPr>
      <w:r>
        <w:rPr>
          <w:b/>
          <w:bCs/>
        </w:rPr>
        <w:t xml:space="preserve">6. Lessons</w:t>
      </w:r>
    </w:p>
    <w:p>
      <w:pPr>
        <w:pStyle w:val="Heading2"/>
        <w:spacing w:after="140" w:before="240"/>
      </w:pPr>
      <w:r>
        <w:rPr>
          <w:b/>
          <w:bCs/>
        </w:rPr>
        <w:t xml:space="preserve">6.1 Automation is no longer optional in trade ops</w:t>
      </w:r>
    </w:p>
    <w:p>
      <w:pPr>
        <w:spacing w:after="140"/>
        <w:jc w:val="both"/>
      </w:pPr>
      <w:r>
        <w:t xml:space="preserve">Under T+1, the math forces it. Speed is how trading firms protect compliance, capital, and competitive position. Manual processes are not just slower — they are increasingly out of regulatory tolerance. Investing in automation is not a 'nice to have' transformation programme; it is operational survival.</w:t>
      </w:r>
    </w:p>
    <w:p>
      <w:pPr>
        <w:pStyle w:val="Heading2"/>
        <w:spacing w:after="140" w:before="240"/>
      </w:pPr>
      <w:r>
        <w:rPr>
          <w:b/>
          <w:bCs/>
        </w:rPr>
        <w:t xml:space="preserve">6.2 Prompt design is a programming skill</w:t>
      </w:r>
    </w:p>
    <w:p>
      <w:pPr>
        <w:spacing w:after="140"/>
        <w:jc w:val="both"/>
      </w:pPr>
      <w:r>
        <w:t xml:space="preserve">The cost difference between a naive AI implementation (~$2 per run) and a thoughtfully batched one (~$0.05) is two orders of magnitude. The skill that matters is not 'how do I call an API'; it is 'how do I structure the prompt, the data, and the output schema so the model produces parseable, high-signal results in one or two calls instead of hundreds.' Specifying the role, providing the right context, anchoring on a JSON schema, and constraining the output — these are the levers. That is the muscle the next generation of ops analysts needs to build.</w:t>
      </w:r>
    </w:p>
    <w:p>
      <w:pPr>
        <w:pStyle w:val="Heading2"/>
        <w:spacing w:after="140" w:before="240"/>
      </w:pPr>
      <w:r>
        <w:rPr>
          <w:b/>
          <w:bCs/>
        </w:rPr>
        <w:t xml:space="preserve">6.3 Reports have audiences, not readers</w:t>
      </w:r>
    </w:p>
    <w:p>
      <w:pPr>
        <w:spacing w:after="140"/>
        <w:jc w:val="both"/>
      </w:pPr>
      <w:r>
        <w:t xml:space="preserve">Production ops reports use a tiered structure — manager view, analyst worklist, deep dive, reference. I built mine the same way: one report, five audiences, no scrolling past content meant for someone else. This single design principle is the difference between a report that is read and one that gets ignored. Treating output as an interface design problem, not a writing problem, is the shift that makes AI-generated reports actually useful.</w:t>
      </w:r>
    </w:p>
    <w:p>
      <w:pPr>
        <w:pStyle w:val="Heading2"/>
        <w:spacing w:after="140" w:before="240"/>
      </w:pPr>
      <w:r>
        <w:rPr>
          <w:b/>
          <w:bCs/>
        </w:rPr>
        <w:t xml:space="preserve">6.4 Spend tokens like a budget</w:t>
      </w:r>
    </w:p>
    <w:p>
      <w:pPr>
        <w:spacing w:after="140"/>
        <w:jc w:val="both"/>
      </w:pPr>
      <w:r>
        <w:t xml:space="preserve">The 80/20 thinking that drives the rest of operations applies recursively to AI itself: spend the bulk of your tokens on the small fraction of breaks that carry the bulk of risk. Long-tail handling defers to playbooks. This pattern — narrow attention, broad systematisation — is exactly how mature ops teams scale. It also keeps the per-run cost predictable, which matters when you want to run the pipeline daily across multiple desks.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</w:rPr>
        <w:t xml:space="preserve">7. Next steps (v2 roadmap)</w:t>
      </w:r>
    </w:p>
    <w:p>
      <w:pPr>
        <w:spacing w:after="140"/>
        <w:jc w:val="both"/>
      </w:pPr>
      <w:r>
        <w:t xml:space="preserve">The v1 already covers Python reconciliation, Excel dashboarding, priority scoring, and AI-assisted investigation via direct Claude API calls. The next iteration would extend the pipeline along several axes, each adding a credible capability to the portfolio.</w:t>
      </w:r>
    </w:p>
    <w:p>
      <w:pPr>
        <w:pStyle w:val="Heading2"/>
        <w:spacing w:after="140" w:before="240"/>
      </w:pPr>
      <w:r>
        <w:rPr>
          <w:b/>
          <w:bCs/>
        </w:rPr>
        <w:t xml:space="preserve">A. Real-time streaming</w:t>
      </w:r>
    </w:p>
    <w:p>
      <w:pPr>
        <w:spacing w:after="140"/>
        <w:jc w:val="both"/>
      </w:pPr>
      <w:r>
        <w:t xml:space="preserve">Replace the batch pattern with a Kafka or event-driven pipeline so breaks surface within seconds of trade capture, not the next morning. As the industry moves toward T+0 in some markets, real-time is the only viable architecture. Adds streaming and event-driven design to the CV.</w:t>
      </w:r>
    </w:p>
    <w:p>
      <w:pPr>
        <w:pStyle w:val="Heading2"/>
        <w:spacing w:after="140" w:before="240"/>
      </w:pPr>
      <w:r>
        <w:rPr>
          <w:b/>
          <w:bCs/>
        </w:rPr>
        <w:t xml:space="preserve">B. Predictive break classification</w:t>
      </w:r>
    </w:p>
    <w:p>
      <w:pPr>
        <w:spacing w:after="140"/>
        <w:jc w:val="both"/>
      </w:pPr>
      <w:r>
        <w:t xml:space="preserve">Train a small classifier (logistic regression or gradient boosting) on historical break data — counterparty, security, time-of-day, asset class — to pre-flag the trades most likely to break before reconciliation runs. Move from reactive to proactive. Adds applied ML to the CV.</w:t>
      </w:r>
    </w:p>
    <w:p>
      <w:pPr>
        <w:pStyle w:val="Heading2"/>
        <w:spacing w:after="140" w:before="240"/>
      </w:pPr>
      <w:r>
        <w:rPr>
          <w:b/>
          <w:bCs/>
        </w:rPr>
        <w:t xml:space="preserve">C. Auto-resolution for low-risk breaks</w:t>
      </w:r>
    </w:p>
    <w:p>
      <w:pPr>
        <w:spacing w:after="140"/>
        <w:jc w:val="both"/>
      </w:pPr>
      <w:r>
        <w:t xml:space="preserve">For QTY_DIFF breaks under a small tolerance, automatically trigger the correction workflow without human review. For DUP breaks where both rows are byte-identical and one side is the obvious duplicate, auto-cancel. Free the analyst to focus on the genuinely exceptional cases. Estimated impact: another 30 to 40% reduction in analyst hours.</w:t>
      </w:r>
    </w:p>
    <w:p>
      <w:pPr>
        <w:pStyle w:val="Heading2"/>
        <w:spacing w:after="140" w:before="240"/>
      </w:pPr>
      <w:r>
        <w:rPr>
          <w:b/>
          <w:bCs/>
        </w:rPr>
        <w:t xml:space="preserve">D. Counterparty pattern analysis</w:t>
      </w:r>
    </w:p>
    <w:p>
      <w:pPr>
        <w:spacing w:after="140"/>
        <w:jc w:val="both"/>
      </w:pPr>
      <w:r>
        <w:t xml:space="preserve">Aggregate breaks by counterparty over time to identify chronic problem relationships. A counterparty consistently producing PRICE_TOL breaks is a process improvement conversation, not a daily firefight. This is where reconciliation data becomes a vendor management input.</w:t>
      </w:r>
    </w:p>
    <w:p>
      <w:pPr>
        <w:pStyle w:val="Heading2"/>
        <w:spacing w:after="140" w:before="240"/>
      </w:pPr>
      <w:r>
        <w:rPr>
          <w:b/>
          <w:bCs/>
        </w:rPr>
        <w:t xml:space="preserve">E. Workflow integration</w:t>
      </w:r>
    </w:p>
    <w:p>
      <w:pPr>
        <w:spacing w:after="140"/>
        <w:jc w:val="both"/>
      </w:pPr>
      <w:r>
        <w:t xml:space="preserve">Wire the report into Power Automate so RED-tier breaks automatically trigger emails to the relevant trade-support contacts named in the playbook. Push the same RED tier to a Slack or Microsoft Teams channel for instant visibility. The report stops being a document and becomes a workflow trigger. Adds RPA and integration to the CV.</w:t>
      </w:r>
    </w:p>
    <w:p>
      <w:pPr>
        <w:pStyle w:val="Heading2"/>
        <w:spacing w:after="140" w:before="240"/>
      </w:pPr>
      <w:r>
        <w:rPr>
          <w:b/>
          <w:bCs/>
        </w:rPr>
        <w:t xml:space="preserve">F. Prompt caching and model tiering</w:t>
      </w:r>
    </w:p>
    <w:p>
      <w:pPr>
        <w:spacing w:after="140"/>
        <w:jc w:val="both"/>
      </w:pPr>
      <w:r>
        <w:t xml:space="preserve">Use Anthropic's prompt caching to keep the playbook context warm across runs (saves another ~50% on input tokens for follow-up calls). Run the AMBER tier on the cheaper Haiku model and the RED tier on Sonnet — quality goes to the breaks where it matters; cost stays low everywhere else. Demonstrates production-grade cost management.</w:t>
      </w:r>
    </w:p>
    <w:p>
      <w:pPr>
        <w:pStyle w:val="Heading2"/>
        <w:spacing w:after="140" w:before="240"/>
      </w:pPr>
      <w:r>
        <w:rPr>
          <w:b/>
          <w:bCs/>
        </w:rPr>
        <w:t xml:space="preserve">G. Audit trail and quality measurement</w:t>
      </w:r>
    </w:p>
    <w:p>
      <w:pPr>
        <w:spacing w:after="140"/>
        <w:jc w:val="both"/>
      </w:pPr>
      <w:r>
        <w:t xml:space="preserve">Log every AI-suggested narrative alongside the analyst's actual action and outcome. Use that data to A/B test prompt variants and measure how much human review time the AI is saving per break. The next conversation with management is then evidence-based, not opinion-based — a critical capability for ops automation roles.</w:t>
      </w:r>
    </w:p>
    <w:p>
      <w:pPr>
        <w:pStyle w:val="Heading2"/>
        <w:spacing w:after="140" w:before="240"/>
      </w:pPr>
      <w:r>
        <w:rPr>
          <w:b/>
          <w:bCs/>
        </w:rPr>
        <w:t xml:space="preserve">H. Power BI dashboard</w:t>
      </w:r>
    </w:p>
    <w:p>
      <w:pPr>
        <w:spacing w:after="140"/>
        <w:jc w:val="both"/>
      </w:pPr>
      <w:r>
        <w:t xml:space="preserve">Migrate the Excel dashboard to Power BI so it can be refreshed live, embedded in Microsoft Teams, and use row-level security across desks. This is the natural Sprint 5 deliverable in my wider learning plan.</w:t>
      </w:r>
    </w:p>
    <w:p>
      <w:pPr>
        <w:spacing w:after="100"/>
      </w:pPr>
      <w:r>
        <w:t xml:space="preserve"/>
      </w:r>
    </w:p>
    <w:p>
      <w:pPr>
        <w:spacing w:after="140"/>
        <w:jc w:val="both"/>
      </w:pPr>
      <w:r>
        <w:rPr>
          <w:b/>
          <w:bCs/>
        </w:rPr>
        <w:t xml:space="preserve">Each of these adds visible CV-line value: real-time streaming, machine learning, automation orchestration, observability, and BI. The v1 already qualifies as portfolio-grade evidence; v2 turns it into a small but credible end-to-end ops automation platform.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</w:rPr>
        <w:t xml:space="preserve">Appendix — Repository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trade-reconciliation-automation/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generate_data.py             # synthetic trade data generator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reconcile.py                 # core matching + categorisation engine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priority_score.py            # financial impact x age scoring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generate_report.py           # 2 batched Claude API calls -&gt; tiered report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dashboard.xlsx               # Excel KPI dashboard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break_investigation_report.md # tiered AI-drafted report (sample)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break_worklist.csv           # analyst-ready sortable worklist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narrative_prompt.md          # reusable LLM prompt for break narratives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README.md                    # project overview, setup, results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docs/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Case_Study_Recon.docx      # this document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40"/>
        <w:jc w:val="both"/>
      </w:pPr>
      <w:r>
        <w:rPr>
          <w:i/>
          <w:iCs/>
          <w:color w:val="595959"/>
        </w:rPr>
        <w:t xml:space="preserve">All synthetic data. No proprietary information used. Built independently to demonstrate practical AI and automation skills for middle-office trade operations roles.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Case Study — Trade Reconciliation Automation | Mai Nguyen Quynh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Study - Trade Reconciliation Automation</dc:title>
  <dc:creator>Mai Nguyen Quynh</dc:creator>
  <cp:lastModifiedBy>Un-named</cp:lastModifiedBy>
  <cp:revision>1</cp:revision>
  <dcterms:created xsi:type="dcterms:W3CDTF">2026-04-30T21:09:10.052Z</dcterms:created>
  <dcterms:modified xsi:type="dcterms:W3CDTF">2026-04-30T21:09:10.052Z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