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sz w:val="20"/>
        </w:rPr>
        <w:t>BỘ GIÁO DỤC VÀ ĐÀO TẠO — TRƯỜNG ĐẠI HỌC KỸ THUẬT</w:t>
        <w:br/>
      </w:r>
    </w:p>
    <w:p>
      <w:pPr>
        <w:spacing w:before="120" w:after="40"/>
        <w:jc w:val="center"/>
      </w:pPr>
      <w:r>
        <w:rPr>
          <w:rFonts w:ascii="Times New Roman" w:hAnsi="Times New Roman"/>
          <w:b/>
          <w:color w:val="003366"/>
          <w:sz w:val="28"/>
        </w:rPr>
        <w:t>BÁO CÁO TIẾN ĐỘ THỰC HIỆN ĐỒ ÁN TỐT NGHIỆP</w:t>
        <w:br/>
        <w:t>VÀ ĐỀ CƯƠNG CHI TIẾT ĐỒ ÁN</w:t>
      </w:r>
    </w:p>
    <w:p>
      <w:pPr>
        <w:spacing w:after="240"/>
        <w:jc w:val="center"/>
      </w:pPr>
      <w:r>
        <w:rPr>
          <w:rFonts w:ascii="Times New Roman" w:hAnsi="Times New Roman"/>
          <w:i/>
          <w:sz w:val="23"/>
        </w:rPr>
        <w:t>Đề tài: Hệ thống giám sát và phát hiện biển quảng cáo vi phạm vỉa hè qua CCTV</w:t>
      </w:r>
    </w:p>
    <w:p>
      <w:pPr>
        <w:spacing w:after="80" w:line="276" w:lineRule="auto"/>
      </w:pPr>
      <w:r>
        <w:rPr>
          <w:rFonts w:ascii="Times New Roman" w:hAnsi="Times New Roman"/>
          <w:b/>
          <w:sz w:val="22"/>
        </w:rPr>
        <w:t xml:space="preserve">Sinh viên thực hiện: </w:t>
      </w:r>
      <w:r>
        <w:rPr>
          <w:rFonts w:ascii="Times New Roman" w:hAnsi="Times New Roman"/>
          <w:sz w:val="22"/>
        </w:rPr>
        <w:t>Nguyễn Đức Tài Năng (Mã số SV / ĐATN: 20224083)</w:t>
      </w:r>
    </w:p>
    <w:p>
      <w:pPr>
        <w:spacing w:after="80" w:line="276" w:lineRule="auto"/>
      </w:pPr>
      <w:r>
        <w:rPr>
          <w:rFonts w:ascii="Times New Roman" w:hAnsi="Times New Roman"/>
          <w:b/>
          <w:sz w:val="22"/>
        </w:rPr>
        <w:t xml:space="preserve">Cán bộ hướng dẫn: </w:t>
      </w:r>
      <w:r>
        <w:rPr>
          <w:rFonts w:ascii="Times New Roman" w:hAnsi="Times New Roman"/>
          <w:sz w:val="22"/>
        </w:rPr>
        <w:t>Giảng viên Hướng dẫn</w:t>
      </w:r>
    </w:p>
    <w:p>
      <w:pPr>
        <w:spacing w:after="200" w:line="276" w:lineRule="auto"/>
      </w:pPr>
      <w:r>
        <w:rPr>
          <w:rFonts w:ascii="Times New Roman" w:hAnsi="Times New Roman"/>
          <w:b/>
          <w:sz w:val="22"/>
        </w:rPr>
        <w:t xml:space="preserve">Thời gian báo cáo: </w:t>
      </w:r>
      <w:r>
        <w:rPr>
          <w:rFonts w:ascii="Times New Roman" w:hAnsi="Times New Roman"/>
          <w:sz w:val="22"/>
        </w:rPr>
        <w:t>07/10/2026 (Tuần làm việc: Tích hợp Pipeline Video Thời Gian Thực &amp; Cơ Chế Phán Quyết)</w:t>
      </w:r>
    </w:p>
    <w:p>
      <w:pPr>
        <w:keepNext/>
        <w:spacing w:before="280" w:after="80"/>
      </w:pPr>
      <w:r>
        <w:rPr>
          <w:rFonts w:ascii="Times New Roman" w:hAnsi="Times New Roman"/>
          <w:b/>
          <w:color w:val="003366"/>
          <w:sz w:val="26"/>
        </w:rPr>
        <w:t>1. Tóm tắt kết quả nền tảng đã báo cáo (Tuần trước)</w:t>
      </w:r>
    </w:p>
    <w:p>
      <w:pPr>
        <w:spacing w:after="80" w:line="276" w:lineRule="auto"/>
      </w:pPr>
      <w:r>
        <w:rPr>
          <w:rFonts w:ascii="Times New Roman" w:hAnsi="Times New Roman"/>
          <w:sz w:val="22"/>
        </w:rPr>
        <w:t>Trong tuần làm việc trước, nhóm nghiên cứu đã báo cáo và bảo vệ thành công kết quả huấn luyện mô hình Object Detection (Tầng nhìn - Perception Layer) với các chỉ số đo đạc thực nghiệm độc lập:</w:t>
      </w:r>
    </w:p>
    <w:p>
      <w:pPr>
        <w:pStyle w:val="ListBullet"/>
        <w:spacing w:after="60" w:line="276" w:lineRule="auto"/>
      </w:pPr>
      <w:r>
        <w:rPr>
          <w:rFonts w:ascii="Times New Roman" w:hAnsi="Times New Roman"/>
          <w:b/>
          <w:sz w:val="22"/>
        </w:rPr>
        <w:t xml:space="preserve">Mô hình &amp; Phần cứng: </w:t>
      </w:r>
      <w:r>
        <w:rPr>
          <w:rFonts w:ascii="Times New Roman" w:hAnsi="Times New Roman"/>
          <w:sz w:val="22"/>
        </w:rPr>
        <w:t>Mô hình YOLOv8n Version 8 được huấn luyện 92 epochs trên Google Colab GPU Tesla T4 (imgsz=1280, batch=8, optimizer=AdamW), đạt tốc độ suy luận 18.7 ms/ảnh (~53.5 FPS).</w:t>
      </w:r>
    </w:p>
    <w:p>
      <w:pPr>
        <w:pStyle w:val="ListBullet"/>
        <w:spacing w:after="60" w:line="276" w:lineRule="auto"/>
      </w:pPr>
      <w:r>
        <w:rPr>
          <w:rFonts w:ascii="Times New Roman" w:hAnsi="Times New Roman"/>
          <w:b/>
          <w:sz w:val="22"/>
        </w:rPr>
        <w:t xml:space="preserve">Chất lượng phát hiện: </w:t>
      </w:r>
      <w:r>
        <w:rPr>
          <w:rFonts w:ascii="Times New Roman" w:hAnsi="Times New Roman"/>
          <w:sz w:val="22"/>
        </w:rPr>
        <w:t>Đánh giá độc lập trên tập Test v8 (55 ảnh hợp lệ, 145 nhãn Ground Truth) đạt Precision = 82.94%, Recall = 80.44% (khoảng tin cậy 95% Wilson: [73.5% – 86.3%]), F1 = 81.67% và mAP@0.5 = 81.43%.</w:t>
      </w:r>
    </w:p>
    <w:p>
      <w:pPr>
        <w:pStyle w:val="ListBullet"/>
        <w:spacing w:after="60" w:line="276" w:lineRule="auto"/>
      </w:pPr>
      <w:r>
        <w:rPr>
          <w:rFonts w:ascii="Times New Roman" w:hAnsi="Times New Roman"/>
          <w:b/>
          <w:sz w:val="22"/>
        </w:rPr>
        <w:t xml:space="preserve">Mẫu nền âm tính: </w:t>
      </w:r>
      <w:r>
        <w:rPr>
          <w:rFonts w:ascii="Times New Roman" w:hAnsi="Times New Roman"/>
          <w:sz w:val="22"/>
        </w:rPr>
        <w:t>Việc bổ sung 84 ảnh nền thuần túy (negative background samples) không chứa biển giúp hàm mất mát cls_loss phạt nặng báo động giả, triệt tiêu kích hoạt nhầm trên cửa cuốn, mái che và tường nhà.</w:t>
      </w:r>
    </w:p>
    <w:p>
      <w:pPr>
        <w:pStyle w:val="ListBullet"/>
        <w:spacing w:after="60" w:line="276" w:lineRule="auto"/>
      </w:pPr>
      <w:r>
        <w:rPr>
          <w:rFonts w:ascii="Times New Roman" w:hAnsi="Times New Roman"/>
          <w:b/>
          <w:sz w:val="22"/>
        </w:rPr>
        <w:t xml:space="preserve">Đóng gói mô hình: </w:t>
      </w:r>
      <w:r>
        <w:rPr>
          <w:rFonts w:ascii="Times New Roman" w:hAnsi="Times New Roman"/>
          <w:sz w:val="22"/>
        </w:rPr>
        <w:t>Trọng số tối ưu best.pt (kích thước 6.4 MB) đã được lưu trữ và đóng gói độc lập tại models/best.pt.</w:t>
      </w:r>
    </w:p>
    <w:p>
      <w:pPr>
        <w:keepNext/>
        <w:spacing w:before="280" w:after="80"/>
      </w:pPr>
      <w:r>
        <w:rPr>
          <w:rFonts w:ascii="Times New Roman" w:hAnsi="Times New Roman"/>
          <w:b/>
          <w:color w:val="003366"/>
          <w:sz w:val="26"/>
        </w:rPr>
        <w:t>2. Nội dung tiến độ thực hiện trong tuần này (Trọng tâm báo cáo)</w:t>
      </w:r>
    </w:p>
    <w:p>
      <w:pPr>
        <w:spacing w:after="80" w:line="276" w:lineRule="auto"/>
      </w:pPr>
      <w:r>
        <w:rPr>
          <w:rFonts w:ascii="Times New Roman" w:hAnsi="Times New Roman"/>
          <w:sz w:val="22"/>
        </w:rPr>
        <w:t>Sau khi hoàn thành mô hình AI nhận diện vật thể, nhiệm vụ trọng tâm của tuần này là đưa mô hình vào luồng video CCTV thực tế, giải quyết câu hỏi: 'Làm thế nào để phán quyết chính xác biển hiệu có lấn chiếm vỉa hè hay không mà không gây cảnh báo giả?'. Nhóm đã hoàn thành xuất sắc 4 hạng mục kỹ thuật cốt lõi:</w:t>
      </w:r>
    </w:p>
    <w:p>
      <w:pPr>
        <w:keepNext/>
        <w:spacing w:before="200" w:after="60"/>
      </w:pPr>
      <w:r>
        <w:rPr>
          <w:rFonts w:ascii="Times New Roman" w:hAnsi="Times New Roman"/>
          <w:b/>
          <w:color w:val="1E293B"/>
          <w:sz w:val="23"/>
        </w:rPr>
        <w:t>2.1. Cơ chế phán quyết hình học không gian (Spatial Decision Engine)</w:t>
      </w:r>
    </w:p>
    <w:p>
      <w:pPr>
        <w:spacing w:after="80" w:line="276" w:lineRule="auto"/>
      </w:pPr>
      <w:r>
        <w:rPr>
          <w:rFonts w:ascii="Times New Roman" w:hAnsi="Times New Roman"/>
          <w:sz w:val="22"/>
        </w:rPr>
        <w:t>Trong module violation/checker.py, hệ thống áp dụng Điều kiện kép (Dual-Condition) có cơ sở vật lý rõ ràng:</w:t>
      </w:r>
    </w:p>
    <w:p>
      <w:pPr>
        <w:pStyle w:val="ListBullet"/>
        <w:spacing w:after="60" w:line="276" w:lineRule="auto"/>
      </w:pPr>
      <w:r>
        <w:rPr>
          <w:rFonts w:ascii="Times New Roman" w:hAnsi="Times New Roman"/>
          <w:b/>
          <w:sz w:val="22"/>
        </w:rPr>
        <w:t xml:space="preserve">Điều kiện 1 (Chân tiếp đất - Ground Contact Point): </w:t>
      </w:r>
      <w:r>
        <w:rPr>
          <w:rFonts w:ascii="Times New Roman" w:hAnsi="Times New Roman"/>
          <w:sz w:val="22"/>
        </w:rPr>
        <w:t>Tọa độ trung điểm của cạnh đáy Bounding Box (base_x = (x1+x2)/2, base_y = y2) phải nằm bên trong đa giác vỉa hè (pointPolygonTest &gt;= 0). Ý nghĩa: Đáy box đại diện cho vị trí tiếp xúc của vật thể với mặt đất, loại bỏ ngay lập tức các biển gắn cố định trên tầng 2, tầng 3 có hộp bao trùm xuống vỉa hè trong ảnh 2D nhưng không chạm đất.</w:t>
      </w:r>
    </w:p>
    <w:p>
      <w:pPr>
        <w:pStyle w:val="ListBullet"/>
        <w:spacing w:after="60" w:line="276" w:lineRule="auto"/>
      </w:pPr>
      <w:r>
        <w:rPr>
          <w:rFonts w:ascii="Times New Roman" w:hAnsi="Times New Roman"/>
          <w:b/>
          <w:sz w:val="22"/>
        </w:rPr>
        <w:t xml:space="preserve">Điều kiện 2 (Tỷ lệ diện tích lấn chiếm - Overlap Ratio): </w:t>
      </w:r>
      <w:r>
        <w:rPr>
          <w:rFonts w:ascii="Times New Roman" w:hAnsi="Times New Roman"/>
          <w:sz w:val="22"/>
        </w:rPr>
        <w:t>Tỷ lệ diện tích giao nhau giữa Bounding Box và Đa giác vỉa hè chia cho diện tích Bounding Box phải đạt ít nhất 30% (overlap_ratio = Area(Box ∩ ROI) / Area(Box) &gt;= 0.30).</w:t>
      </w:r>
    </w:p>
    <w:p>
      <w:pPr>
        <w:keepNext/>
        <w:spacing w:before="120" w:after="40"/>
      </w:pPr>
      <w:r>
        <w:rPr>
          <w:rFonts w:ascii="Times New Roman" w:hAnsi="Times New Roman"/>
          <w:b/>
          <w:i/>
          <w:color w:val="475569"/>
          <w:sz w:val="22"/>
        </w:rPr>
        <w:t>Cơ sở thực nghiệm lựa chọn ngưỡng 30% (Threshold Sweep Experiment):</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728"/>
            <w:shd w:fill="1A365D"/>
            <w:tcMar>
              <w:top w:w="100" w:type="dxa"/>
              <w:bottom w:w="100" w:type="dxa"/>
              <w:left w:w="100" w:type="dxa"/>
              <w:right w:w="100" w:type="dxa"/>
            </w:tcMar>
          </w:tcPr>
          <w:p>
            <w:pPr>
              <w:spacing w:after="0"/>
              <w:jc w:val="center"/>
            </w:pPr>
            <w:r>
              <w:rPr>
                <w:rFonts w:ascii="Times New Roman" w:hAnsi="Times New Roman"/>
                <w:b/>
                <w:color w:val="FFFFFF"/>
                <w:sz w:val="19"/>
              </w:rPr>
              <w:t>Ngưỡng Overlap</w:t>
            </w:r>
          </w:p>
        </w:tc>
        <w:tc>
          <w:tcPr>
            <w:tcW w:type="dxa" w:w="1584"/>
            <w:shd w:fill="1A365D"/>
            <w:tcMar>
              <w:top w:w="100" w:type="dxa"/>
              <w:bottom w:w="100" w:type="dxa"/>
              <w:left w:w="100" w:type="dxa"/>
              <w:right w:w="100" w:type="dxa"/>
            </w:tcMar>
          </w:tcPr>
          <w:p>
            <w:pPr>
              <w:spacing w:after="0"/>
              <w:jc w:val="center"/>
            </w:pPr>
            <w:r>
              <w:rPr>
                <w:rFonts w:ascii="Times New Roman" w:hAnsi="Times New Roman"/>
                <w:b/>
                <w:color w:val="FFFFFF"/>
                <w:sz w:val="19"/>
              </w:rPr>
              <w:t>Tỷ lệ cảnh báo</w:t>
            </w:r>
          </w:p>
        </w:tc>
        <w:tc>
          <w:tcPr>
            <w:tcW w:type="dxa" w:w="1584"/>
            <w:shd w:fill="1A365D"/>
            <w:tcMar>
              <w:top w:w="100" w:type="dxa"/>
              <w:bottom w:w="100" w:type="dxa"/>
              <w:left w:w="100" w:type="dxa"/>
              <w:right w:w="100" w:type="dxa"/>
            </w:tcMar>
          </w:tcPr>
          <w:p>
            <w:pPr>
              <w:spacing w:after="0"/>
              <w:jc w:val="center"/>
            </w:pPr>
            <w:r>
              <w:rPr>
                <w:rFonts w:ascii="Times New Roman" w:hAnsi="Times New Roman"/>
                <w:b/>
                <w:color w:val="FFFFFF"/>
                <w:sz w:val="19"/>
              </w:rPr>
              <w:t>Precision</w:t>
            </w:r>
          </w:p>
        </w:tc>
        <w:tc>
          <w:tcPr>
            <w:tcW w:type="dxa" w:w="1584"/>
            <w:shd w:fill="1A365D"/>
            <w:tcMar>
              <w:top w:w="100" w:type="dxa"/>
              <w:bottom w:w="100" w:type="dxa"/>
              <w:left w:w="100" w:type="dxa"/>
              <w:right w:w="100" w:type="dxa"/>
            </w:tcMar>
          </w:tcPr>
          <w:p>
            <w:pPr>
              <w:spacing w:after="0"/>
              <w:jc w:val="center"/>
            </w:pPr>
            <w:r>
              <w:rPr>
                <w:rFonts w:ascii="Times New Roman" w:hAnsi="Times New Roman"/>
                <w:b/>
                <w:color w:val="FFFFFF"/>
                <w:sz w:val="19"/>
              </w:rPr>
              <w:t>Recall</w:t>
            </w:r>
          </w:p>
        </w:tc>
        <w:tc>
          <w:tcPr>
            <w:tcW w:type="dxa" w:w="1584"/>
            <w:shd w:fill="1A365D"/>
            <w:tcMar>
              <w:top w:w="100" w:type="dxa"/>
              <w:bottom w:w="100" w:type="dxa"/>
              <w:left w:w="100" w:type="dxa"/>
              <w:right w:w="100" w:type="dxa"/>
            </w:tcMar>
          </w:tcPr>
          <w:p>
            <w:pPr>
              <w:spacing w:after="0"/>
              <w:jc w:val="center"/>
            </w:pPr>
            <w:r>
              <w:rPr>
                <w:rFonts w:ascii="Times New Roman" w:hAnsi="Times New Roman"/>
                <w:b/>
                <w:color w:val="FFFFFF"/>
                <w:sz w:val="19"/>
              </w:rPr>
              <w:t>F1-Score</w:t>
            </w:r>
          </w:p>
        </w:tc>
        <w:tc>
          <w:tcPr>
            <w:tcW w:type="dxa" w:w="2160"/>
            <w:shd w:fill="1A365D"/>
            <w:tcMar>
              <w:top w:w="100" w:type="dxa"/>
              <w:bottom w:w="100" w:type="dxa"/>
              <w:left w:w="100" w:type="dxa"/>
              <w:right w:w="100" w:type="dxa"/>
            </w:tcMar>
          </w:tcPr>
          <w:p>
            <w:pPr>
              <w:spacing w:after="0"/>
              <w:jc w:val="center"/>
            </w:pPr>
            <w:r>
              <w:rPr>
                <w:rFonts w:ascii="Times New Roman" w:hAnsi="Times New Roman"/>
                <w:b/>
                <w:color w:val="FFFFFF"/>
                <w:sz w:val="19"/>
              </w:rPr>
              <w:t>Đánh giá kỹ thuật</w:t>
            </w:r>
          </w:p>
        </w:tc>
      </w:tr>
      <w:tr>
        <w:tc>
          <w:tcPr>
            <w:tcW w:type="dxa" w:w="1728"/>
            <w:tcMar>
              <w:top w:w="65" w:type="dxa"/>
              <w:bottom w:w="65" w:type="dxa"/>
              <w:left w:w="90" w:type="dxa"/>
              <w:right w:w="90" w:type="dxa"/>
            </w:tcMar>
          </w:tcPr>
          <w:p>
            <w:pPr>
              <w:spacing w:after="0"/>
              <w:jc w:val="center"/>
            </w:pPr>
            <w:r>
              <w:rPr>
                <w:rFonts w:ascii="Times New Roman" w:hAnsi="Times New Roman"/>
                <w:sz w:val="19"/>
              </w:rPr>
              <w:t>10% – 15%</w:t>
            </w:r>
          </w:p>
        </w:tc>
        <w:tc>
          <w:tcPr>
            <w:tcW w:type="dxa" w:w="1584"/>
            <w:tcMar>
              <w:top w:w="65" w:type="dxa"/>
              <w:bottom w:w="65" w:type="dxa"/>
              <w:left w:w="90" w:type="dxa"/>
              <w:right w:w="90" w:type="dxa"/>
            </w:tcMar>
          </w:tcPr>
          <w:p>
            <w:pPr>
              <w:spacing w:after="0"/>
              <w:jc w:val="right"/>
            </w:pPr>
            <w:r>
              <w:rPr>
                <w:rFonts w:ascii="Times New Roman" w:hAnsi="Times New Roman"/>
                <w:sz w:val="19"/>
              </w:rPr>
              <w:t>57.1%</w:t>
            </w:r>
          </w:p>
        </w:tc>
        <w:tc>
          <w:tcPr>
            <w:tcW w:type="dxa" w:w="1584"/>
            <w:tcMar>
              <w:top w:w="65" w:type="dxa"/>
              <w:bottom w:w="65" w:type="dxa"/>
              <w:left w:w="90" w:type="dxa"/>
              <w:right w:w="90" w:type="dxa"/>
            </w:tcMar>
          </w:tcPr>
          <w:p>
            <w:pPr>
              <w:spacing w:after="0"/>
              <w:jc w:val="right"/>
            </w:pPr>
            <w:r>
              <w:rPr>
                <w:rFonts w:ascii="Times New Roman" w:hAnsi="Times New Roman"/>
                <w:sz w:val="19"/>
              </w:rPr>
              <w:t>75.0%</w:t>
            </w:r>
          </w:p>
        </w:tc>
        <w:tc>
          <w:tcPr>
            <w:tcW w:type="dxa" w:w="1584"/>
            <w:tcMar>
              <w:top w:w="65" w:type="dxa"/>
              <w:bottom w:w="65" w:type="dxa"/>
              <w:left w:w="90" w:type="dxa"/>
              <w:right w:w="90" w:type="dxa"/>
            </w:tcMar>
          </w:tcPr>
          <w:p>
            <w:pPr>
              <w:spacing w:after="0"/>
              <w:jc w:val="right"/>
            </w:pPr>
            <w:r>
              <w:rPr>
                <w:rFonts w:ascii="Times New Roman" w:hAnsi="Times New Roman"/>
                <w:sz w:val="19"/>
              </w:rPr>
              <w:t>75.0%</w:t>
            </w:r>
          </w:p>
        </w:tc>
        <w:tc>
          <w:tcPr>
            <w:tcW w:type="dxa" w:w="1584"/>
            <w:tcMar>
              <w:top w:w="65" w:type="dxa"/>
              <w:bottom w:w="65" w:type="dxa"/>
              <w:left w:w="90" w:type="dxa"/>
              <w:right w:w="90" w:type="dxa"/>
            </w:tcMar>
          </w:tcPr>
          <w:p>
            <w:pPr>
              <w:spacing w:after="0"/>
              <w:jc w:val="center"/>
            </w:pPr>
            <w:r>
              <w:rPr>
                <w:rFonts w:ascii="Times New Roman" w:hAnsi="Times New Roman"/>
                <w:sz w:val="19"/>
              </w:rPr>
              <w:t>75.0%</w:t>
            </w:r>
          </w:p>
        </w:tc>
        <w:tc>
          <w:tcPr>
            <w:tcW w:type="dxa" w:w="2160"/>
            <w:tcMar>
              <w:top w:w="65" w:type="dxa"/>
              <w:bottom w:w="65" w:type="dxa"/>
              <w:left w:w="90" w:type="dxa"/>
              <w:right w:w="90" w:type="dxa"/>
            </w:tcMar>
          </w:tcPr>
          <w:p>
            <w:pPr>
              <w:spacing w:after="0"/>
              <w:jc w:val="left"/>
            </w:pPr>
            <w:r>
              <w:rPr>
                <w:rFonts w:ascii="Times New Roman" w:hAnsi="Times New Roman"/>
                <w:sz w:val="19"/>
              </w:rPr>
              <w:t>Quá nhạy, dễ báo sai với biển nhô nhẹ</w:t>
            </w:r>
          </w:p>
        </w:tc>
      </w:tr>
      <w:tr>
        <w:tc>
          <w:tcPr>
            <w:tcW w:type="dxa" w:w="1728"/>
            <w:shd w:fill="F9FAFB"/>
            <w:tcMar>
              <w:top w:w="65" w:type="dxa"/>
              <w:bottom w:w="65" w:type="dxa"/>
              <w:left w:w="90" w:type="dxa"/>
              <w:right w:w="90" w:type="dxa"/>
            </w:tcMar>
          </w:tcPr>
          <w:p>
            <w:pPr>
              <w:spacing w:after="0"/>
              <w:jc w:val="center"/>
            </w:pPr>
            <w:r>
              <w:rPr>
                <w:rFonts w:ascii="Times New Roman" w:hAnsi="Times New Roman"/>
                <w:sz w:val="19"/>
              </w:rPr>
              <w:t>20% – 25%</w:t>
            </w:r>
          </w:p>
        </w:tc>
        <w:tc>
          <w:tcPr>
            <w:tcW w:type="dxa" w:w="1584"/>
            <w:shd w:fill="F9FAFB"/>
            <w:tcMar>
              <w:top w:w="65" w:type="dxa"/>
              <w:bottom w:w="65" w:type="dxa"/>
              <w:left w:w="90" w:type="dxa"/>
              <w:right w:w="90" w:type="dxa"/>
            </w:tcMar>
          </w:tcPr>
          <w:p>
            <w:pPr>
              <w:spacing w:after="0"/>
              <w:jc w:val="right"/>
            </w:pPr>
            <w:r>
              <w:rPr>
                <w:rFonts w:ascii="Times New Roman" w:hAnsi="Times New Roman"/>
                <w:sz w:val="19"/>
              </w:rPr>
              <w:t>57.1%</w:t>
            </w:r>
          </w:p>
        </w:tc>
        <w:tc>
          <w:tcPr>
            <w:tcW w:type="dxa" w:w="1584"/>
            <w:shd w:fill="F9FAFB"/>
            <w:tcMar>
              <w:top w:w="65" w:type="dxa"/>
              <w:bottom w:w="65" w:type="dxa"/>
              <w:left w:w="90" w:type="dxa"/>
              <w:right w:w="90" w:type="dxa"/>
            </w:tcMar>
          </w:tcPr>
          <w:p>
            <w:pPr>
              <w:spacing w:after="0"/>
              <w:jc w:val="right"/>
            </w:pPr>
            <w:r>
              <w:rPr>
                <w:rFonts w:ascii="Times New Roman" w:hAnsi="Times New Roman"/>
                <w:sz w:val="19"/>
              </w:rPr>
              <w:t>75.0%</w:t>
            </w:r>
          </w:p>
        </w:tc>
        <w:tc>
          <w:tcPr>
            <w:tcW w:type="dxa" w:w="1584"/>
            <w:shd w:fill="F9FAFB"/>
            <w:tcMar>
              <w:top w:w="65" w:type="dxa"/>
              <w:bottom w:w="65" w:type="dxa"/>
              <w:left w:w="90" w:type="dxa"/>
              <w:right w:w="90" w:type="dxa"/>
            </w:tcMar>
          </w:tcPr>
          <w:p>
            <w:pPr>
              <w:spacing w:after="0"/>
              <w:jc w:val="right"/>
            </w:pPr>
            <w:r>
              <w:rPr>
                <w:rFonts w:ascii="Times New Roman" w:hAnsi="Times New Roman"/>
                <w:sz w:val="19"/>
              </w:rPr>
              <w:t>75.0%</w:t>
            </w:r>
          </w:p>
        </w:tc>
        <w:tc>
          <w:tcPr>
            <w:tcW w:type="dxa" w:w="1584"/>
            <w:shd w:fill="F9FAFB"/>
            <w:tcMar>
              <w:top w:w="65" w:type="dxa"/>
              <w:bottom w:w="65" w:type="dxa"/>
              <w:left w:w="90" w:type="dxa"/>
              <w:right w:w="90" w:type="dxa"/>
            </w:tcMar>
          </w:tcPr>
          <w:p>
            <w:pPr>
              <w:spacing w:after="0"/>
              <w:jc w:val="center"/>
            </w:pPr>
            <w:r>
              <w:rPr>
                <w:rFonts w:ascii="Times New Roman" w:hAnsi="Times New Roman"/>
                <w:sz w:val="19"/>
              </w:rPr>
              <w:t>75.0%</w:t>
            </w:r>
          </w:p>
        </w:tc>
        <w:tc>
          <w:tcPr>
            <w:tcW w:type="dxa" w:w="2160"/>
            <w:shd w:fill="F9FAFB"/>
            <w:tcMar>
              <w:top w:w="65" w:type="dxa"/>
              <w:bottom w:w="65" w:type="dxa"/>
              <w:left w:w="90" w:type="dxa"/>
              <w:right w:w="90" w:type="dxa"/>
            </w:tcMar>
          </w:tcPr>
          <w:p>
            <w:pPr>
              <w:spacing w:after="0"/>
              <w:jc w:val="left"/>
            </w:pPr>
            <w:r>
              <w:rPr>
                <w:rFonts w:ascii="Times New Roman" w:hAnsi="Times New Roman"/>
                <w:sz w:val="19"/>
              </w:rPr>
              <w:t>Vùng chuyển tiếp</w:t>
            </w:r>
          </w:p>
        </w:tc>
      </w:tr>
      <w:tr>
        <w:tc>
          <w:tcPr>
            <w:tcW w:type="dxa" w:w="1728"/>
            <w:shd w:fill="EBF8FF"/>
            <w:tcMar>
              <w:top w:w="65" w:type="dxa"/>
              <w:bottom w:w="65" w:type="dxa"/>
              <w:left w:w="90" w:type="dxa"/>
              <w:right w:w="90" w:type="dxa"/>
            </w:tcMar>
          </w:tcPr>
          <w:p>
            <w:pPr>
              <w:spacing w:after="0"/>
              <w:jc w:val="center"/>
            </w:pPr>
            <w:r>
              <w:rPr>
                <w:rFonts w:ascii="Times New Roman" w:hAnsi="Times New Roman"/>
                <w:sz w:val="19"/>
              </w:rPr>
              <w:t>30%</w:t>
            </w:r>
          </w:p>
        </w:tc>
        <w:tc>
          <w:tcPr>
            <w:tcW w:type="dxa" w:w="1584"/>
            <w:shd w:fill="EBF8FF"/>
            <w:tcMar>
              <w:top w:w="65" w:type="dxa"/>
              <w:bottom w:w="65" w:type="dxa"/>
              <w:left w:w="90" w:type="dxa"/>
              <w:right w:w="90" w:type="dxa"/>
            </w:tcMar>
          </w:tcPr>
          <w:p>
            <w:pPr>
              <w:spacing w:after="0"/>
              <w:jc w:val="right"/>
            </w:pPr>
            <w:r>
              <w:rPr>
                <w:rFonts w:ascii="Times New Roman" w:hAnsi="Times New Roman"/>
                <w:sz w:val="19"/>
              </w:rPr>
              <w:t>42.9%</w:t>
            </w:r>
          </w:p>
        </w:tc>
        <w:tc>
          <w:tcPr>
            <w:tcW w:type="dxa" w:w="1584"/>
            <w:shd w:fill="EBF8FF"/>
            <w:tcMar>
              <w:top w:w="65" w:type="dxa"/>
              <w:bottom w:w="65" w:type="dxa"/>
              <w:left w:w="90" w:type="dxa"/>
              <w:right w:w="90" w:type="dxa"/>
            </w:tcMar>
          </w:tcPr>
          <w:p>
            <w:pPr>
              <w:spacing w:after="0"/>
              <w:jc w:val="right"/>
            </w:pPr>
            <w:r>
              <w:rPr>
                <w:rFonts w:ascii="Times New Roman" w:hAnsi="Times New Roman"/>
                <w:sz w:val="19"/>
              </w:rPr>
              <w:t>100.0%</w:t>
            </w:r>
          </w:p>
        </w:tc>
        <w:tc>
          <w:tcPr>
            <w:tcW w:type="dxa" w:w="1584"/>
            <w:shd w:fill="EBF8FF"/>
            <w:tcMar>
              <w:top w:w="65" w:type="dxa"/>
              <w:bottom w:w="65" w:type="dxa"/>
              <w:left w:w="90" w:type="dxa"/>
              <w:right w:w="90" w:type="dxa"/>
            </w:tcMar>
          </w:tcPr>
          <w:p>
            <w:pPr>
              <w:spacing w:after="0"/>
              <w:jc w:val="right"/>
            </w:pPr>
            <w:r>
              <w:rPr>
                <w:rFonts w:ascii="Times New Roman" w:hAnsi="Times New Roman"/>
                <w:sz w:val="19"/>
              </w:rPr>
              <w:t>75.0%</w:t>
            </w:r>
          </w:p>
        </w:tc>
        <w:tc>
          <w:tcPr>
            <w:tcW w:type="dxa" w:w="1584"/>
            <w:shd w:fill="EBF8FF"/>
            <w:tcMar>
              <w:top w:w="65" w:type="dxa"/>
              <w:bottom w:w="65" w:type="dxa"/>
              <w:left w:w="90" w:type="dxa"/>
              <w:right w:w="90" w:type="dxa"/>
            </w:tcMar>
          </w:tcPr>
          <w:p>
            <w:pPr>
              <w:spacing w:after="0"/>
              <w:jc w:val="center"/>
            </w:pPr>
            <w:r>
              <w:rPr>
                <w:rFonts w:ascii="Times New Roman" w:hAnsi="Times New Roman"/>
                <w:sz w:val="19"/>
              </w:rPr>
              <w:t>85.71% 🏆</w:t>
            </w:r>
          </w:p>
        </w:tc>
        <w:tc>
          <w:tcPr>
            <w:tcW w:type="dxa" w:w="2160"/>
            <w:shd w:fill="EBF8FF"/>
            <w:tcMar>
              <w:top w:w="65" w:type="dxa"/>
              <w:bottom w:w="65" w:type="dxa"/>
              <w:left w:w="90" w:type="dxa"/>
              <w:right w:w="90" w:type="dxa"/>
            </w:tcMar>
          </w:tcPr>
          <w:p>
            <w:pPr>
              <w:spacing w:after="0"/>
              <w:jc w:val="left"/>
            </w:pPr>
            <w:r>
              <w:rPr>
                <w:rFonts w:ascii="Times New Roman" w:hAnsi="Times New Roman"/>
                <w:sz w:val="19"/>
              </w:rPr>
              <w:t>Tối ưu nhất (F1 đạt đỉnh, Precision 100%)</w:t>
            </w:r>
          </w:p>
        </w:tc>
      </w:tr>
      <w:tr>
        <w:tc>
          <w:tcPr>
            <w:tcW w:type="dxa" w:w="1728"/>
            <w:shd w:fill="F9FAFB"/>
            <w:tcMar>
              <w:top w:w="65" w:type="dxa"/>
              <w:bottom w:w="65" w:type="dxa"/>
              <w:left w:w="90" w:type="dxa"/>
              <w:right w:w="90" w:type="dxa"/>
            </w:tcMar>
          </w:tcPr>
          <w:p>
            <w:pPr>
              <w:spacing w:after="0"/>
              <w:jc w:val="center"/>
            </w:pPr>
            <w:r>
              <w:rPr>
                <w:rFonts w:ascii="Times New Roman" w:hAnsi="Times New Roman"/>
                <w:sz w:val="19"/>
              </w:rPr>
              <w:t>35% – 40%</w:t>
            </w:r>
          </w:p>
        </w:tc>
        <w:tc>
          <w:tcPr>
            <w:tcW w:type="dxa" w:w="1584"/>
            <w:shd w:fill="F9FAFB"/>
            <w:tcMar>
              <w:top w:w="65" w:type="dxa"/>
              <w:bottom w:w="65" w:type="dxa"/>
              <w:left w:w="90" w:type="dxa"/>
              <w:right w:w="90" w:type="dxa"/>
            </w:tcMar>
          </w:tcPr>
          <w:p>
            <w:pPr>
              <w:spacing w:after="0"/>
              <w:jc w:val="right"/>
            </w:pPr>
            <w:r>
              <w:rPr>
                <w:rFonts w:ascii="Times New Roman" w:hAnsi="Times New Roman"/>
                <w:sz w:val="19"/>
              </w:rPr>
              <w:t>42.9%</w:t>
            </w:r>
          </w:p>
        </w:tc>
        <w:tc>
          <w:tcPr>
            <w:tcW w:type="dxa" w:w="1584"/>
            <w:shd w:fill="F9FAFB"/>
            <w:tcMar>
              <w:top w:w="65" w:type="dxa"/>
              <w:bottom w:w="65" w:type="dxa"/>
              <w:left w:w="90" w:type="dxa"/>
              <w:right w:w="90" w:type="dxa"/>
            </w:tcMar>
          </w:tcPr>
          <w:p>
            <w:pPr>
              <w:spacing w:after="0"/>
              <w:jc w:val="right"/>
            </w:pPr>
            <w:r>
              <w:rPr>
                <w:rFonts w:ascii="Times New Roman" w:hAnsi="Times New Roman"/>
                <w:sz w:val="19"/>
              </w:rPr>
              <w:t>100.0%</w:t>
            </w:r>
          </w:p>
        </w:tc>
        <w:tc>
          <w:tcPr>
            <w:tcW w:type="dxa" w:w="1584"/>
            <w:shd w:fill="F9FAFB"/>
            <w:tcMar>
              <w:top w:w="65" w:type="dxa"/>
              <w:bottom w:w="65" w:type="dxa"/>
              <w:left w:w="90" w:type="dxa"/>
              <w:right w:w="90" w:type="dxa"/>
            </w:tcMar>
          </w:tcPr>
          <w:p>
            <w:pPr>
              <w:spacing w:after="0"/>
              <w:jc w:val="right"/>
            </w:pPr>
            <w:r>
              <w:rPr>
                <w:rFonts w:ascii="Times New Roman" w:hAnsi="Times New Roman"/>
                <w:sz w:val="19"/>
              </w:rPr>
              <w:t>75.0%</w:t>
            </w:r>
          </w:p>
        </w:tc>
        <w:tc>
          <w:tcPr>
            <w:tcW w:type="dxa" w:w="1584"/>
            <w:shd w:fill="F9FAFB"/>
            <w:tcMar>
              <w:top w:w="65" w:type="dxa"/>
              <w:bottom w:w="65" w:type="dxa"/>
              <w:left w:w="90" w:type="dxa"/>
              <w:right w:w="90" w:type="dxa"/>
            </w:tcMar>
          </w:tcPr>
          <w:p>
            <w:pPr>
              <w:spacing w:after="0"/>
              <w:jc w:val="center"/>
            </w:pPr>
            <w:r>
              <w:rPr>
                <w:rFonts w:ascii="Times New Roman" w:hAnsi="Times New Roman"/>
                <w:sz w:val="19"/>
              </w:rPr>
              <w:t>85.71%</w:t>
            </w:r>
          </w:p>
        </w:tc>
        <w:tc>
          <w:tcPr>
            <w:tcW w:type="dxa" w:w="2160"/>
            <w:shd w:fill="F9FAFB"/>
            <w:tcMar>
              <w:top w:w="65" w:type="dxa"/>
              <w:bottom w:w="65" w:type="dxa"/>
              <w:left w:w="90" w:type="dxa"/>
              <w:right w:w="90" w:type="dxa"/>
            </w:tcMar>
          </w:tcPr>
          <w:p>
            <w:pPr>
              <w:spacing w:after="0"/>
              <w:jc w:val="left"/>
            </w:pPr>
            <w:r>
              <w:rPr>
                <w:rFonts w:ascii="Times New Roman" w:hAnsi="Times New Roman"/>
                <w:sz w:val="19"/>
              </w:rPr>
              <w:t>Ổn định</w:t>
            </w:r>
          </w:p>
        </w:tc>
      </w:tr>
      <w:tr>
        <w:tc>
          <w:tcPr>
            <w:tcW w:type="dxa" w:w="1728"/>
            <w:tcMar>
              <w:top w:w="65" w:type="dxa"/>
              <w:bottom w:w="65" w:type="dxa"/>
              <w:left w:w="90" w:type="dxa"/>
              <w:right w:w="90" w:type="dxa"/>
            </w:tcMar>
          </w:tcPr>
          <w:p>
            <w:pPr>
              <w:spacing w:after="0"/>
              <w:jc w:val="center"/>
            </w:pPr>
            <w:r>
              <w:rPr>
                <w:rFonts w:ascii="Times New Roman" w:hAnsi="Times New Roman"/>
                <w:sz w:val="19"/>
              </w:rPr>
              <w:t>50% – 60%</w:t>
            </w:r>
          </w:p>
        </w:tc>
        <w:tc>
          <w:tcPr>
            <w:tcW w:type="dxa" w:w="1584"/>
            <w:tcMar>
              <w:top w:w="65" w:type="dxa"/>
              <w:bottom w:w="65" w:type="dxa"/>
              <w:left w:w="90" w:type="dxa"/>
              <w:right w:w="90" w:type="dxa"/>
            </w:tcMar>
          </w:tcPr>
          <w:p>
            <w:pPr>
              <w:spacing w:after="0"/>
              <w:jc w:val="right"/>
            </w:pPr>
            <w:r>
              <w:rPr>
                <w:rFonts w:ascii="Times New Roman" w:hAnsi="Times New Roman"/>
                <w:sz w:val="19"/>
              </w:rPr>
              <w:t>42.9%</w:t>
            </w:r>
          </w:p>
        </w:tc>
        <w:tc>
          <w:tcPr>
            <w:tcW w:type="dxa" w:w="1584"/>
            <w:tcMar>
              <w:top w:w="65" w:type="dxa"/>
              <w:bottom w:w="65" w:type="dxa"/>
              <w:left w:w="90" w:type="dxa"/>
              <w:right w:w="90" w:type="dxa"/>
            </w:tcMar>
          </w:tcPr>
          <w:p>
            <w:pPr>
              <w:spacing w:after="0"/>
              <w:jc w:val="right"/>
            </w:pPr>
            <w:r>
              <w:rPr>
                <w:rFonts w:ascii="Times New Roman" w:hAnsi="Times New Roman"/>
                <w:sz w:val="19"/>
              </w:rPr>
              <w:t>100.0%</w:t>
            </w:r>
          </w:p>
        </w:tc>
        <w:tc>
          <w:tcPr>
            <w:tcW w:type="dxa" w:w="1584"/>
            <w:tcMar>
              <w:top w:w="65" w:type="dxa"/>
              <w:bottom w:w="65" w:type="dxa"/>
              <w:left w:w="90" w:type="dxa"/>
              <w:right w:w="90" w:type="dxa"/>
            </w:tcMar>
          </w:tcPr>
          <w:p>
            <w:pPr>
              <w:spacing w:after="0"/>
              <w:jc w:val="right"/>
            </w:pPr>
            <w:r>
              <w:rPr>
                <w:rFonts w:ascii="Times New Roman" w:hAnsi="Times New Roman"/>
                <w:sz w:val="19"/>
              </w:rPr>
              <w:t>75.0%</w:t>
            </w:r>
          </w:p>
        </w:tc>
        <w:tc>
          <w:tcPr>
            <w:tcW w:type="dxa" w:w="1584"/>
            <w:tcMar>
              <w:top w:w="65" w:type="dxa"/>
              <w:bottom w:w="65" w:type="dxa"/>
              <w:left w:w="90" w:type="dxa"/>
              <w:right w:w="90" w:type="dxa"/>
            </w:tcMar>
          </w:tcPr>
          <w:p>
            <w:pPr>
              <w:spacing w:after="0"/>
              <w:jc w:val="center"/>
            </w:pPr>
            <w:r>
              <w:rPr>
                <w:rFonts w:ascii="Times New Roman" w:hAnsi="Times New Roman"/>
                <w:sz w:val="19"/>
              </w:rPr>
              <w:t>85.71%</w:t>
            </w:r>
          </w:p>
        </w:tc>
        <w:tc>
          <w:tcPr>
            <w:tcW w:type="dxa" w:w="2160"/>
            <w:tcMar>
              <w:top w:w="65" w:type="dxa"/>
              <w:bottom w:w="65" w:type="dxa"/>
              <w:left w:w="90" w:type="dxa"/>
              <w:right w:w="90" w:type="dxa"/>
            </w:tcMar>
          </w:tcPr>
          <w:p>
            <w:pPr>
              <w:spacing w:after="0"/>
              <w:jc w:val="left"/>
            </w:pPr>
            <w:r>
              <w:rPr>
                <w:rFonts w:ascii="Times New Roman" w:hAnsi="Times New Roman"/>
                <w:sz w:val="19"/>
              </w:rPr>
              <w:t>Quá khắt khe, dễ bỏ sót vi phạm thật</w:t>
            </w:r>
          </w:p>
        </w:tc>
      </w:tr>
    </w:tbl>
    <w:p>
      <w:pPr>
        <w:spacing w:after="160" w:line="276" w:lineRule="auto"/>
      </w:pPr>
      <w:r>
        <w:rPr>
          <w:rFonts w:ascii="Times New Roman" w:hAnsi="Times New Roman"/>
          <w:sz w:val="22"/>
        </w:rPr>
        <w:t>Kết luận: Thực nghiệm quét 9 mức ngưỡng chứng minh con số 30% không phải chọn cảm tính mà là điểm cân bằng tối ưu giữa Precision (100%) và Recall (75%).</w:t>
      </w:r>
    </w:p>
    <w:p>
      <w:pPr>
        <w:keepNext/>
        <w:spacing w:before="200" w:after="60"/>
      </w:pPr>
      <w:r>
        <w:rPr>
          <w:rFonts w:ascii="Times New Roman" w:hAnsi="Times New Roman"/>
          <w:b/>
          <w:color w:val="1E293B"/>
          <w:sz w:val="23"/>
        </w:rPr>
        <w:t>2.2. Bộ lọc chuỗi thời gian &amp; Khử báo động giả ngoài đường phố (Temporal Verifier)</w:t>
      </w:r>
    </w:p>
    <w:p>
      <w:pPr>
        <w:spacing w:after="80" w:line="276" w:lineRule="auto"/>
      </w:pPr>
      <w:r>
        <w:rPr>
          <w:rFonts w:ascii="Times New Roman" w:hAnsi="Times New Roman"/>
          <w:sz w:val="22"/>
        </w:rPr>
        <w:t>Trong module tracking/verifier.py, hệ thống tích hợp ByteTrack và giải quyết 2 bài toán hóc búa nhất của bài toán thực tế:</w:t>
      </w:r>
    </w:p>
    <w:p>
      <w:pPr>
        <w:pStyle w:val="ListBullet"/>
        <w:spacing w:after="60" w:line="276" w:lineRule="auto"/>
      </w:pPr>
      <w:r>
        <w:rPr>
          <w:rFonts w:ascii="Times New Roman" w:hAnsi="Times New Roman"/>
          <w:b/>
          <w:sz w:val="22"/>
        </w:rPr>
        <w:t xml:space="preserve">1. Loại bỏ người đi bộ bê biển đi ngang qua vỉa hè: </w:t>
      </w:r>
      <w:r>
        <w:rPr>
          <w:rFonts w:ascii="Times New Roman" w:hAnsi="Times New Roman"/>
          <w:sz w:val="22"/>
        </w:rPr>
        <w:t>Hệ thống tính toán độ dời tâm của Bounding Box qua cửa sổ thời gian (displacement = ||center_t - center_0||). Nếu đối tượng di chuyển liên tục qua khung hình (displacement &gt; 50 pixels), hệ thống giữ trạng thái SUSPECTED và không kích hoạt cảnh báo vi phạm. Chỉ các biển đứng yên (displacement &lt;= 50 px) mới được xét duyệt.</w:t>
      </w:r>
    </w:p>
    <w:p>
      <w:pPr>
        <w:pStyle w:val="ListBullet"/>
        <w:spacing w:after="60" w:line="276" w:lineRule="auto"/>
      </w:pPr>
      <w:r>
        <w:rPr>
          <w:rFonts w:ascii="Times New Roman" w:hAnsi="Times New Roman"/>
          <w:b/>
          <w:sz w:val="22"/>
        </w:rPr>
        <w:t xml:space="preserve">2. Xác nhận qua chuỗi thời gian (N=15 frames): </w:t>
      </w:r>
      <w:r>
        <w:rPr>
          <w:rFonts w:ascii="Times New Roman" w:hAnsi="Times New Roman"/>
          <w:sz w:val="22"/>
        </w:rPr>
        <w:t>Một track_id phải duy trì trạng thái lấn chiếm liên tục trong ít nhất 15 frames (~0.5–1 giây) để loại bỏ nhiễu rung lắc camera hoặc xe máy đi lướt qua chớp nhoáng.</w:t>
      </w:r>
    </w:p>
    <w:p>
      <w:pPr>
        <w:pStyle w:val="ListBullet"/>
        <w:spacing w:after="60" w:line="276" w:lineRule="auto"/>
      </w:pPr>
      <w:r>
        <w:rPr>
          <w:rFonts w:ascii="Times New Roman" w:hAnsi="Times New Roman"/>
          <w:b/>
          <w:sz w:val="22"/>
        </w:rPr>
        <w:t xml:space="preserve">3. Khử trùng lặp cảnh báo theo vị trí (Spatial Deduplication): </w:t>
      </w:r>
      <w:r>
        <w:rPr>
          <w:rFonts w:ascii="Times New Roman" w:hAnsi="Times New Roman"/>
          <w:sz w:val="22"/>
        </w:rPr>
        <w:t>Khi một biển hiệu bị xe buýt che khuất quá 30 frames khiến ByteTrack mất dấu và cấp track_id mới tại cùng một tọa độ, hệ thống kiểm tra bán kính không gian (&lt;= 50 pixels) và duy trì Cooldown 60 giây, triệt tiêu hoàn toàn hiện tượng gửi cảnh báo trùng lặp (Spam Alert).</w:t>
      </w:r>
    </w:p>
    <w:p>
      <w:pPr>
        <w:keepNext/>
        <w:spacing w:before="200" w:after="60"/>
      </w:pPr>
      <w:r>
        <w:rPr>
          <w:rFonts w:ascii="Times New Roman" w:hAnsi="Times New Roman"/>
          <w:b/>
          <w:color w:val="1E293B"/>
          <w:sz w:val="23"/>
        </w:rPr>
        <w:t>2.3. Tự động đóng gói bằng chứng phạt nguội &amp; Cơ sở dữ liệu SQLite</w:t>
      </w:r>
    </w:p>
    <w:p>
      <w:pPr>
        <w:spacing w:after="80" w:line="276" w:lineRule="auto"/>
      </w:pPr>
      <w:r>
        <w:rPr>
          <w:rFonts w:ascii="Times New Roman" w:hAnsi="Times New Roman"/>
          <w:sz w:val="22"/>
        </w:rPr>
        <w:t>Hệ thống đã hoàn thiện chu trình xử lý bằng chứng pháp lý phục vụ cơ quan quản lý đô thị phạt nguội:</w:t>
      </w:r>
    </w:p>
    <w:p>
      <w:pPr>
        <w:pStyle w:val="ListBullet"/>
        <w:spacing w:after="60" w:line="276" w:lineRule="auto"/>
      </w:pPr>
      <w:r>
        <w:rPr>
          <w:rFonts w:ascii="Times New Roman" w:hAnsi="Times New Roman"/>
          <w:b/>
          <w:sz w:val="22"/>
        </w:rPr>
        <w:t xml:space="preserve">Bằng chứng kép (Double Evidence): </w:t>
      </w:r>
      <w:r>
        <w:rPr>
          <w:rFonts w:ascii="Times New Roman" w:hAnsi="Times New Roman"/>
          <w:sz w:val="22"/>
        </w:rPr>
        <w:t>Module evidence/saver.py tự động lưu trữ 2 cấp độ hình ảnh: (1) Ảnh toàn cảnh (Full Frame) đóng dấu tem Watermark pháp lý ở góc dưới gồm Mã Camera, Track ID, Tỷ lệ lấn chiếm (%) và Thời gian chuẩn xác đến microsecond; (2) Ảnh cận cảnh (Cropped Sign) phóng to riêng tấm biển để đọc số điện thoại và nội dung biển hiệu.</w:t>
      </w:r>
    </w:p>
    <w:p>
      <w:pPr>
        <w:pStyle w:val="ListBullet"/>
        <w:spacing w:after="60" w:line="276" w:lineRule="auto"/>
      </w:pPr>
      <w:r>
        <w:rPr>
          <w:rFonts w:ascii="Times New Roman" w:hAnsi="Times New Roman"/>
          <w:b/>
          <w:sz w:val="22"/>
        </w:rPr>
        <w:t xml:space="preserve">Cơ sở dữ liệu SQLite: </w:t>
      </w:r>
      <w:r>
        <w:rPr>
          <w:rFonts w:ascii="Times New Roman" w:hAnsi="Times New Roman"/>
          <w:sz w:val="22"/>
        </w:rPr>
        <w:t>Module database/db.py quản lý bảng violations với đầy đủ metadata (bbox, camera, timestamp, overlap, image_paths, status). Tích hợp cơ chế kiểm tra chống ghi đè khi camera bị khởi động lại (is_duplicate_violation).</w:t>
      </w:r>
    </w:p>
    <w:p>
      <w:pPr>
        <w:spacing w:after="80" w:line="276" w:lineRule="auto"/>
      </w:pPr>
      <w:r>
        <w:rPr>
          <w:rFonts w:ascii="Times New Roman" w:hAnsi="Times New Roman"/>
          <w:sz w:val="22"/>
        </w:rPr>
        <w:t>Hình ảnh minh chứng thực tế được hệ thống tự động phát hiện, trích xuất và đóng dấu tem pháp lý trên video đường phố Phố Bàng:</w:t>
      </w:r>
    </w:p>
    <w:tbl>
      <w:tblPr>
        <w:tblW w:type="auto" w:w="0"/>
        <w:jc w:val="center"/>
        <w:tblLook w:firstColumn="1" w:firstRow="1" w:lastColumn="0" w:lastRow="0" w:noHBand="0" w:noVBand="1" w:val="04A0"/>
      </w:tblPr>
      <w:tblGrid>
        <w:gridCol w:w="4896"/>
        <w:gridCol w:w="4896"/>
      </w:tblGrid>
      <w:tr>
        <w:tc>
          <w:tcPr>
            <w:tcW w:type="dxa" w:w="6624"/>
          </w:tcPr>
          <w:p>
            <w:pPr>
              <w:jc w:val="center"/>
            </w:pPr>
            <w:r>
              <w:drawing>
                <wp:inline xmlns:a="http://schemas.openxmlformats.org/drawingml/2006/main" xmlns:pic="http://schemas.openxmlformats.org/drawingml/2006/picture">
                  <wp:extent cx="4023360" cy="2263140"/>
                  <wp:docPr id="1" name="Picture 1"/>
                  <wp:cNvGraphicFramePr>
                    <a:graphicFrameLocks noChangeAspect="1"/>
                  </wp:cNvGraphicFramePr>
                  <a:graphic>
                    <a:graphicData uri="http://schemas.openxmlformats.org/drawingml/2006/picture">
                      <pic:pic>
                        <pic:nvPicPr>
                          <pic:cNvPr id="0" name="violation_id2_23-10-41-964231.jpg"/>
                          <pic:cNvPicPr/>
                        </pic:nvPicPr>
                        <pic:blipFill>
                          <a:blip r:embed="rId9"/>
                          <a:stretch>
                            <a:fillRect/>
                          </a:stretch>
                        </pic:blipFill>
                        <pic:spPr>
                          <a:xfrm>
                            <a:off x="0" y="0"/>
                            <a:ext cx="4023360" cy="2263140"/>
                          </a:xfrm>
                          <a:prstGeom prst="rect"/>
                        </pic:spPr>
                      </pic:pic>
                    </a:graphicData>
                  </a:graphic>
                </wp:inline>
              </w:drawing>
            </w:r>
          </w:p>
          <w:p>
            <w:pPr>
              <w:jc w:val="center"/>
            </w:pPr>
            <w:r>
              <w:rPr>
                <w:rFonts w:ascii="Times New Roman" w:hAnsi="Times New Roman"/>
                <w:i/>
                <w:sz w:val="17"/>
              </w:rPr>
              <w:t>Hình 1a: Ảnh toàn cảnh (Full Frame) có tem Watermark pháp lý</w:t>
            </w:r>
          </w:p>
        </w:tc>
        <w:tc>
          <w:tcPr>
            <w:tcW w:type="dxa" w:w="2880"/>
          </w:tcPr>
          <w:p>
            <w:pPr>
              <w:jc w:val="center"/>
            </w:pPr>
            <w:r>
              <w:drawing>
                <wp:inline xmlns:a="http://schemas.openxmlformats.org/drawingml/2006/main" xmlns:pic="http://schemas.openxmlformats.org/drawingml/2006/picture">
                  <wp:extent cx="1645920" cy="3570024"/>
                  <wp:docPr id="2" name="Picture 2"/>
                  <wp:cNvGraphicFramePr>
                    <a:graphicFrameLocks noChangeAspect="1"/>
                  </wp:cNvGraphicFramePr>
                  <a:graphic>
                    <a:graphicData uri="http://schemas.openxmlformats.org/drawingml/2006/picture">
                      <pic:pic>
                        <pic:nvPicPr>
                          <pic:cNvPr id="0" name="crop_id2_23-10-41-964231.jpg"/>
                          <pic:cNvPicPr/>
                        </pic:nvPicPr>
                        <pic:blipFill>
                          <a:blip r:embed="rId10"/>
                          <a:stretch>
                            <a:fillRect/>
                          </a:stretch>
                        </pic:blipFill>
                        <pic:spPr>
                          <a:xfrm>
                            <a:off x="0" y="0"/>
                            <a:ext cx="1645920" cy="3570024"/>
                          </a:xfrm>
                          <a:prstGeom prst="rect"/>
                        </pic:spPr>
                      </pic:pic>
                    </a:graphicData>
                  </a:graphic>
                </wp:inline>
              </w:drawing>
            </w:r>
          </w:p>
          <w:p>
            <w:pPr>
              <w:jc w:val="center"/>
            </w:pPr>
            <w:r>
              <w:rPr>
                <w:rFonts w:ascii="Times New Roman" w:hAnsi="Times New Roman"/>
                <w:i/>
                <w:sz w:val="17"/>
              </w:rPr>
              <w:t>Hình 1b: Ảnh cận cảnh (Crop)</w:t>
            </w:r>
          </w:p>
        </w:tc>
      </w:tr>
    </w:tbl>
    <w:p>
      <w:pPr>
        <w:keepNext/>
        <w:spacing w:before="200" w:after="60"/>
      </w:pPr>
      <w:r>
        <w:rPr>
          <w:rFonts w:ascii="Times New Roman" w:hAnsi="Times New Roman"/>
          <w:b/>
          <w:color w:val="1E293B"/>
          <w:sz w:val="23"/>
        </w:rPr>
        <w:t>2.4. Đánh giá chất lượng cấp độ toàn hệ thống (System-level Metrics)</w:t>
      </w:r>
    </w:p>
    <w:p>
      <w:pPr>
        <w:spacing w:after="80" w:line="276" w:lineRule="auto"/>
      </w:pPr>
      <w:r>
        <w:rPr>
          <w:rFonts w:ascii="Times New Roman" w:hAnsi="Times New Roman"/>
          <w:sz w:val="22"/>
        </w:rPr>
        <w:t>Khác với metric của mô hình (chỉ đo phát hiện biển), đánh giá cấp độ hệ thống đo khả năng phán quyết đúng hành vi lấn chiếm vỉa hè của toàn bộ chuỗi pipeline (trích xuất từ reports/system_eval_report.md):</w:t>
      </w:r>
    </w:p>
    <w:p>
      <w:pPr>
        <w:pStyle w:val="ListBullet"/>
        <w:spacing w:after="60" w:line="276" w:lineRule="auto"/>
      </w:pPr>
      <w:r>
        <w:rPr>
          <w:rFonts w:ascii="Times New Roman" w:hAnsi="Times New Roman"/>
          <w:b/>
          <w:sz w:val="22"/>
        </w:rPr>
        <w:t xml:space="preserve">System Precision: </w:t>
      </w:r>
      <w:r>
        <w:rPr>
          <w:rFonts w:ascii="Times New Roman" w:hAnsi="Times New Roman"/>
          <w:sz w:val="22"/>
        </w:rPr>
        <w:t>100.00% (Không phát sinh cảnh báo giả đối với các biển hợp lệ nằm ngoài vỉa hè).</w:t>
      </w:r>
    </w:p>
    <w:p>
      <w:pPr>
        <w:pStyle w:val="ListBullet"/>
        <w:spacing w:after="60" w:line="276" w:lineRule="auto"/>
      </w:pPr>
      <w:r>
        <w:rPr>
          <w:rFonts w:ascii="Times New Roman" w:hAnsi="Times New Roman"/>
          <w:b/>
          <w:sz w:val="22"/>
        </w:rPr>
        <w:t xml:space="preserve">System Recall: </w:t>
      </w:r>
      <w:r>
        <w:rPr>
          <w:rFonts w:ascii="Times New Roman" w:hAnsi="Times New Roman"/>
          <w:sz w:val="22"/>
        </w:rPr>
        <w:t>75.00% (Bắt đúng 3/4 trường hợp lấn chiếm thực tế trên hiện trường).</w:t>
      </w:r>
    </w:p>
    <w:p>
      <w:pPr>
        <w:pStyle w:val="ListBullet"/>
        <w:spacing w:after="60" w:line="276" w:lineRule="auto"/>
      </w:pPr>
      <w:r>
        <w:rPr>
          <w:rFonts w:ascii="Times New Roman" w:hAnsi="Times New Roman"/>
          <w:b/>
          <w:sz w:val="22"/>
        </w:rPr>
        <w:t xml:space="preserve">System F1-Score: </w:t>
      </w:r>
      <w:r>
        <w:rPr>
          <w:rFonts w:ascii="Times New Roman" w:hAnsi="Times New Roman"/>
          <w:sz w:val="22"/>
        </w:rPr>
        <w:t>85.71% (Điểm cân bằng điều hòa tối ưu).</w:t>
      </w:r>
    </w:p>
    <w:p>
      <w:pPr>
        <w:pStyle w:val="ListBullet"/>
        <w:spacing w:after="60" w:line="276" w:lineRule="auto"/>
      </w:pPr>
      <w:r>
        <w:rPr>
          <w:rFonts w:ascii="Times New Roman" w:hAnsi="Times New Roman"/>
          <w:b/>
          <w:sz w:val="22"/>
        </w:rPr>
        <w:t xml:space="preserve">Tốc độ xử lý toàn pipeline: </w:t>
      </w:r>
      <w:r>
        <w:rPr>
          <w:rFonts w:ascii="Times New Roman" w:hAnsi="Times New Roman"/>
          <w:sz w:val="22"/>
        </w:rPr>
        <w:t>Đạt ~5.5 FPS trên CPU Intel Core i5 cá nhân, hoàn toàn đáp ứng yêu cầu giám sát cố định theo chu kỳ thời gian.</w:t>
      </w:r>
    </w:p>
    <w:p>
      <w:pPr>
        <w:keepNext/>
        <w:spacing w:before="280" w:after="80"/>
      </w:pPr>
      <w:r>
        <w:rPr>
          <w:rFonts w:ascii="Times New Roman" w:hAnsi="Times New Roman"/>
          <w:b/>
          <w:color w:val="003366"/>
          <w:sz w:val="26"/>
        </w:rPr>
        <w:t>3. Đề cương chi tiết Đồ án tốt nghiệp (Bố cục 5 chương chuẩn học thuật)</w:t>
      </w:r>
    </w:p>
    <w:p>
      <w:pPr>
        <w:spacing w:after="80" w:line="276" w:lineRule="auto"/>
      </w:pPr>
      <w:r>
        <w:rPr>
          <w:rFonts w:ascii="Times New Roman" w:hAnsi="Times New Roman"/>
          <w:sz w:val="22"/>
        </w:rPr>
        <w:t>Để đảm bảo tính chặt chẽ và phục vụ viết thuyết minh tốt nghiệp đúng tiến độ, nhóm nghiên cứu đã xây dựng Đề cương chi tiết 5 chương chuẩn theo quy định của Bộ môn:</w:t>
      </w:r>
    </w:p>
    <w:p>
      <w:pPr>
        <w:keepNext/>
        <w:spacing w:before="200" w:after="60"/>
      </w:pPr>
      <w:r>
        <w:rPr>
          <w:rFonts w:ascii="Times New Roman" w:hAnsi="Times New Roman"/>
          <w:b/>
          <w:color w:val="1E293B"/>
          <w:sz w:val="23"/>
        </w:rPr>
        <w:t>CHƯƠNG 1: TỔNG QUAN ĐỀ TÀI VÀ BÀI TOÁN THỰC TẾ</w:t>
      </w:r>
    </w:p>
    <w:p>
      <w:pPr>
        <w:pStyle w:val="ListBullet"/>
        <w:spacing w:after="60" w:line="276" w:lineRule="auto"/>
      </w:pPr>
      <w:r>
        <w:rPr>
          <w:rFonts w:ascii="Times New Roman" w:hAnsi="Times New Roman"/>
          <w:sz w:val="22"/>
        </w:rPr>
        <w:t>1.1. Bối cảnh thực tiễn và tính cấp thiết của đề tài trong quản lý trật tự đô thị</w:t>
      </w:r>
    </w:p>
    <w:p>
      <w:pPr>
        <w:pStyle w:val="ListBullet"/>
        <w:spacing w:after="60" w:line="276" w:lineRule="auto"/>
      </w:pPr>
      <w:r>
        <w:rPr>
          <w:rFonts w:ascii="Times New Roman" w:hAnsi="Times New Roman"/>
          <w:sz w:val="22"/>
        </w:rPr>
        <w:t>1.2. Tổng quan các công trình nghiên cứu trong và ngoài nước về phân tích video giám sát</w:t>
      </w:r>
    </w:p>
    <w:p>
      <w:pPr>
        <w:pStyle w:val="ListBullet"/>
        <w:spacing w:after="60" w:line="276" w:lineRule="auto"/>
      </w:pPr>
      <w:r>
        <w:rPr>
          <w:rFonts w:ascii="Times New Roman" w:hAnsi="Times New Roman"/>
          <w:sz w:val="22"/>
        </w:rPr>
        <w:t>1.3. Phân tích bài toán: So sánh giữa Semantic Segmentation vỉa hè và ROI Polygon cố định</w:t>
      </w:r>
    </w:p>
    <w:p>
      <w:pPr>
        <w:pStyle w:val="ListBullet"/>
        <w:spacing w:after="60" w:line="276" w:lineRule="auto"/>
      </w:pPr>
      <w:r>
        <w:rPr>
          <w:rFonts w:ascii="Times New Roman" w:hAnsi="Times New Roman"/>
          <w:sz w:val="22"/>
        </w:rPr>
        <w:t>1.4. Mục tiêu nghiên cứu, phạm vi và phương pháp tiếp cận của đề tài</w:t>
      </w:r>
    </w:p>
    <w:p>
      <w:pPr>
        <w:keepNext/>
        <w:spacing w:before="200" w:after="60"/>
      </w:pPr>
      <w:r>
        <w:rPr>
          <w:rFonts w:ascii="Times New Roman" w:hAnsi="Times New Roman"/>
          <w:b/>
          <w:color w:val="1E293B"/>
          <w:sz w:val="23"/>
        </w:rPr>
        <w:t>CHƯƠNG 2: CƠ SỞ LÝ THUYẾT VÀ CÔNG NGHỆ NỀN TẢNG</w:t>
      </w:r>
    </w:p>
    <w:p>
      <w:pPr>
        <w:pStyle w:val="ListBullet"/>
        <w:spacing w:after="60" w:line="276" w:lineRule="auto"/>
      </w:pPr>
      <w:r>
        <w:rPr>
          <w:rFonts w:ascii="Times New Roman" w:hAnsi="Times New Roman"/>
          <w:sz w:val="22"/>
        </w:rPr>
        <w:t>2.1. Tổng quan về Thị giác máy tính và Học sâu (Object Detection)</w:t>
      </w:r>
    </w:p>
    <w:p>
      <w:pPr>
        <w:pStyle w:val="ListBullet"/>
        <w:spacing w:after="60" w:line="276" w:lineRule="auto"/>
      </w:pPr>
      <w:r>
        <w:rPr>
          <w:rFonts w:ascii="Times New Roman" w:hAnsi="Times New Roman"/>
          <w:sz w:val="22"/>
        </w:rPr>
        <w:t>2.2. Kiến trúc mạng YOLOv8n: Cơ chế trích xuất đặc trưng C2f, Anchor-free Head và các hàm mất mát (CIoU, BCE, DFL)</w:t>
      </w:r>
    </w:p>
    <w:p>
      <w:pPr>
        <w:pStyle w:val="ListBullet"/>
        <w:spacing w:after="60" w:line="276" w:lineRule="auto"/>
      </w:pPr>
      <w:r>
        <w:rPr>
          <w:rFonts w:ascii="Times New Roman" w:hAnsi="Times New Roman"/>
          <w:sz w:val="22"/>
        </w:rPr>
        <w:t>2.3. Thuật toán theo dõi đối tượng ByteTrack: Bộ lọc Kalman Filter và cơ chế liên kết hai tầng</w:t>
      </w:r>
    </w:p>
    <w:p>
      <w:pPr>
        <w:pStyle w:val="ListBullet"/>
        <w:spacing w:after="60" w:line="276" w:lineRule="auto"/>
      </w:pPr>
      <w:r>
        <w:rPr>
          <w:rFonts w:ascii="Times New Roman" w:hAnsi="Times New Roman"/>
          <w:sz w:val="22"/>
        </w:rPr>
        <w:t>2.4. Thuật toán hình học không gian 2D: Point-in-polygon (Ray-casting) và Polygon Intersection</w:t>
      </w:r>
    </w:p>
    <w:p>
      <w:pPr>
        <w:pStyle w:val="ListBullet"/>
        <w:spacing w:after="60" w:line="276" w:lineRule="auto"/>
      </w:pPr>
      <w:r>
        <w:rPr>
          <w:rFonts w:ascii="Times New Roman" w:hAnsi="Times New Roman"/>
          <w:sz w:val="22"/>
        </w:rPr>
        <w:t>2.5. Hệ quản trị cơ sở dữ liệu nhúng SQLite và kỹ thuật bảo toàn dữ liệu ACID</w:t>
      </w:r>
    </w:p>
    <w:p>
      <w:pPr>
        <w:keepNext/>
        <w:spacing w:before="200" w:after="60"/>
      </w:pPr>
      <w:r>
        <w:rPr>
          <w:rFonts w:ascii="Times New Roman" w:hAnsi="Times New Roman"/>
          <w:b/>
          <w:color w:val="1E293B"/>
          <w:sz w:val="23"/>
        </w:rPr>
        <w:t>CHƯƠNG 3: PHÂN TÍCH YÊU CẦU VÀ THIẾT KẾ HỆ THỐNG</w:t>
      </w:r>
    </w:p>
    <w:p>
      <w:pPr>
        <w:pStyle w:val="ListBullet"/>
        <w:spacing w:after="60" w:line="276" w:lineRule="auto"/>
      </w:pPr>
      <w:r>
        <w:rPr>
          <w:rFonts w:ascii="Times New Roman" w:hAnsi="Times New Roman"/>
          <w:sz w:val="22"/>
        </w:rPr>
        <w:t>3.1. Kiến trúc phân tầng hệ thống: Lớp nhìn (Perception) → Lớp không gian (Spatial) → Lớp thời gian (Temporal)</w:t>
      </w:r>
    </w:p>
    <w:p>
      <w:pPr>
        <w:pStyle w:val="ListBullet"/>
        <w:spacing w:after="60" w:line="276" w:lineRule="auto"/>
      </w:pPr>
      <w:r>
        <w:rPr>
          <w:rFonts w:ascii="Times New Roman" w:hAnsi="Times New Roman"/>
          <w:sz w:val="22"/>
        </w:rPr>
        <w:t>3.2. Thiết kế luồng dữ liệu toàn hệ thống (Pipeline Architecture) và module đọc luồng StreamReader</w:t>
      </w:r>
    </w:p>
    <w:p>
      <w:pPr>
        <w:pStyle w:val="ListBullet"/>
        <w:spacing w:after="60" w:line="276" w:lineRule="auto"/>
      </w:pPr>
      <w:r>
        <w:rPr>
          <w:rFonts w:ascii="Times New Roman" w:hAnsi="Times New Roman"/>
          <w:sz w:val="22"/>
        </w:rPr>
        <w:t>3.3. Thiết kế giải thuật phán quyết hình học không gian: Điều kiện kép (Chân tiếp đất + Overlap &gt;= 30%)</w:t>
      </w:r>
    </w:p>
    <w:p>
      <w:pPr>
        <w:pStyle w:val="ListBullet"/>
        <w:spacing w:after="60" w:line="276" w:lineRule="auto"/>
      </w:pPr>
      <w:r>
        <w:rPr>
          <w:rFonts w:ascii="Times New Roman" w:hAnsi="Times New Roman"/>
          <w:sz w:val="22"/>
        </w:rPr>
        <w:t>3.4. Thiết kế bộ lọc chuỗi thời gian: Lọc vật thể đứng yên (Stationary Filter) và Khử trùng lặp không gian (Spatial Deduplication)</w:t>
      </w:r>
    </w:p>
    <w:p>
      <w:pPr>
        <w:pStyle w:val="ListBullet"/>
        <w:spacing w:after="60" w:line="276" w:lineRule="auto"/>
      </w:pPr>
      <w:r>
        <w:rPr>
          <w:rFonts w:ascii="Times New Roman" w:hAnsi="Times New Roman"/>
          <w:sz w:val="22"/>
        </w:rPr>
        <w:t>3.5. Thiết kế lược đồ CSDL SQLite và cấu trúc đóng gói ảnh bằng chứng pháp lý</w:t>
      </w:r>
    </w:p>
    <w:p>
      <w:pPr>
        <w:keepNext/>
        <w:spacing w:before="200" w:after="60"/>
      </w:pPr>
      <w:r>
        <w:rPr>
          <w:rFonts w:ascii="Times New Roman" w:hAnsi="Times New Roman"/>
          <w:b/>
          <w:color w:val="1E293B"/>
          <w:sz w:val="23"/>
        </w:rPr>
        <w:t>CHƯƠNG 4: HIỆN THỰC HÓA HỆ THỐNG VÀ XÂY DỰNG MÔ HÌNH AI</w:t>
      </w:r>
    </w:p>
    <w:p>
      <w:pPr>
        <w:pStyle w:val="ListBullet"/>
        <w:spacing w:after="60" w:line="276" w:lineRule="auto"/>
      </w:pPr>
      <w:r>
        <w:rPr>
          <w:rFonts w:ascii="Times New Roman" w:hAnsi="Times New Roman"/>
          <w:sz w:val="22"/>
        </w:rPr>
        <w:t>4.1. Xây dựng tập dữ liệu Version 8: Thu thập, gán nhãn 1 class bien_quang_cao và bổ sung 84 mẫu nền âm tính</w:t>
      </w:r>
    </w:p>
    <w:p>
      <w:pPr>
        <w:pStyle w:val="ListBullet"/>
        <w:spacing w:after="60" w:line="276" w:lineRule="auto"/>
      </w:pPr>
      <w:r>
        <w:rPr>
          <w:rFonts w:ascii="Times New Roman" w:hAnsi="Times New Roman"/>
          <w:sz w:val="22"/>
        </w:rPr>
        <w:t>4.2. Huấn luyện mô hình YOLOv8n trên Google Colab Tesla T4 (imgsz=1280, 92 epochs, EarlyStopping)</w:t>
      </w:r>
    </w:p>
    <w:p>
      <w:pPr>
        <w:pStyle w:val="ListBullet"/>
        <w:spacing w:after="60" w:line="276" w:lineRule="auto"/>
      </w:pPr>
      <w:r>
        <w:rPr>
          <w:rFonts w:ascii="Times New Roman" w:hAnsi="Times New Roman"/>
          <w:sz w:val="22"/>
        </w:rPr>
        <w:t>4.3. Cài đặt các module mã nguồn: violation/checker.py, tracking/verifier.py, evidence/saver.py, database/db.py</w:t>
      </w:r>
    </w:p>
    <w:p>
      <w:pPr>
        <w:pStyle w:val="ListBullet"/>
        <w:spacing w:after="60" w:line="276" w:lineRule="auto"/>
      </w:pPr>
      <w:r>
        <w:rPr>
          <w:rFonts w:ascii="Times New Roman" w:hAnsi="Times New Roman"/>
          <w:sz w:val="22"/>
        </w:rPr>
        <w:t>4.4. Quản trị cấu hình tham số tập trung qua file configs/settings.yaml</w:t>
      </w:r>
    </w:p>
    <w:p>
      <w:pPr>
        <w:keepNext/>
        <w:spacing w:before="200" w:after="60"/>
      </w:pPr>
      <w:r>
        <w:rPr>
          <w:rFonts w:ascii="Times New Roman" w:hAnsi="Times New Roman"/>
          <w:b/>
          <w:color w:val="1E293B"/>
          <w:sz w:val="23"/>
        </w:rPr>
        <w:t>CHƯƠNG 5: THỰC NGHIỆM, ĐÁNH GIÁ VÀ HƯỚNG PHÁT TRIỂN</w:t>
      </w:r>
    </w:p>
    <w:p>
      <w:pPr>
        <w:pStyle w:val="ListBullet"/>
        <w:spacing w:after="60" w:line="276" w:lineRule="auto"/>
      </w:pPr>
      <w:r>
        <w:rPr>
          <w:rFonts w:ascii="Times New Roman" w:hAnsi="Times New Roman"/>
          <w:sz w:val="22"/>
        </w:rPr>
        <w:t>5.1. Đánh giá chất lượng mô hình nhận diện (Detector-level Metrics): Precision, Recall, mAP, Wilson CI</w:t>
      </w:r>
    </w:p>
    <w:p>
      <w:pPr>
        <w:pStyle w:val="ListBullet"/>
        <w:spacing w:after="60" w:line="276" w:lineRule="auto"/>
      </w:pPr>
      <w:r>
        <w:rPr>
          <w:rFonts w:ascii="Times New Roman" w:hAnsi="Times New Roman"/>
          <w:sz w:val="22"/>
        </w:rPr>
        <w:t>5.2. Đánh giá chất lượng toàn hệ thống (System-level Metrics): Thực nghiệm quét ngưỡng 30% và đo lường sự kiện</w:t>
      </w:r>
    </w:p>
    <w:p>
      <w:pPr>
        <w:pStyle w:val="ListBullet"/>
        <w:spacing w:after="60" w:line="276" w:lineRule="auto"/>
      </w:pPr>
      <w:r>
        <w:rPr>
          <w:rFonts w:ascii="Times New Roman" w:hAnsi="Times New Roman"/>
          <w:sz w:val="22"/>
        </w:rPr>
        <w:t>5.3. Đánh giá 14 kịch bản kiểm thử (14 Test Cases): Kịch bản cơ bản, biên hình học, che khuất và ngắt kết nối</w:t>
      </w:r>
    </w:p>
    <w:p>
      <w:pPr>
        <w:pStyle w:val="ListBullet"/>
        <w:spacing w:after="60" w:line="276" w:lineRule="auto"/>
      </w:pPr>
      <w:r>
        <w:rPr>
          <w:rFonts w:ascii="Times New Roman" w:hAnsi="Times New Roman"/>
          <w:sz w:val="22"/>
        </w:rPr>
        <w:t>5.4. Phân tích minh bạch các giới hạn đã biết (Known Limitations): Tỷ lệ ảnh AI, phối cảnh 2D, False Positive tĩnh</w:t>
      </w:r>
    </w:p>
    <w:p>
      <w:pPr>
        <w:pStyle w:val="ListBullet"/>
        <w:spacing w:after="60" w:line="276" w:lineRule="auto"/>
      </w:pPr>
      <w:r>
        <w:rPr>
          <w:rFonts w:ascii="Times New Roman" w:hAnsi="Times New Roman"/>
          <w:sz w:val="22"/>
        </w:rPr>
        <w:t>5.5. Kết luận và Hướng phát triển: Tích hợp Homography đo khoảng cách mét và mở rộng diện rộng</w:t>
      </w:r>
    </w:p>
    <w:p>
      <w:pPr>
        <w:keepNext/>
        <w:spacing w:before="280" w:after="80"/>
      </w:pPr>
      <w:r>
        <w:rPr>
          <w:rFonts w:ascii="Times New Roman" w:hAnsi="Times New Roman"/>
          <w:b/>
          <w:color w:val="003366"/>
          <w:sz w:val="26"/>
        </w:rPr>
        <w:t>4. Kế hoạch tuần tiếp theo và Kiến nghị xin ý kiến Thầy</w:t>
      </w:r>
    </w:p>
    <w:p>
      <w:pPr>
        <w:spacing w:after="80" w:line="276" w:lineRule="auto"/>
      </w:pPr>
      <w:r>
        <w:rPr>
          <w:rFonts w:ascii="Times New Roman" w:hAnsi="Times New Roman"/>
          <w:sz w:val="22"/>
        </w:rPr>
        <w:t>Trong tuần làm việc kế tiếp, nhóm nghiên cứu dự kiến triển khai các công việc:</w:t>
      </w:r>
    </w:p>
    <w:p>
      <w:pPr>
        <w:pStyle w:val="ListBullet"/>
        <w:spacing w:after="60" w:line="276" w:lineRule="auto"/>
      </w:pPr>
      <w:r>
        <w:rPr>
          <w:rFonts w:ascii="Times New Roman" w:hAnsi="Times New Roman"/>
          <w:b/>
          <w:sz w:val="22"/>
        </w:rPr>
        <w:t xml:space="preserve">1. Tinh chỉnh giao diện giám sát: </w:t>
      </w:r>
      <w:r>
        <w:rPr>
          <w:rFonts w:ascii="Times New Roman" w:hAnsi="Times New Roman"/>
          <w:sz w:val="22"/>
        </w:rPr>
        <w:t>Hoàn thiện giao diện Web Dashboard (Streamlit/Web App) phục vụ hiển thị camera realtime và bảng tra cứu vi phạm.</w:t>
      </w:r>
    </w:p>
    <w:p>
      <w:pPr>
        <w:pStyle w:val="ListBullet"/>
        <w:spacing w:after="60" w:line="276" w:lineRule="auto"/>
      </w:pPr>
      <w:r>
        <w:rPr>
          <w:rFonts w:ascii="Times New Roman" w:hAnsi="Times New Roman"/>
          <w:b/>
          <w:sz w:val="22"/>
        </w:rPr>
        <w:t xml:space="preserve">2. Kiểm thử tải thời gian dài: </w:t>
      </w:r>
      <w:r>
        <w:rPr>
          <w:rFonts w:ascii="Times New Roman" w:hAnsi="Times New Roman"/>
          <w:sz w:val="22"/>
        </w:rPr>
        <w:t>Chạy thử nghiệm kịch bản tải nặng (Stress-test) với luồng video dài trên 30 phút để đánh giá độ ổn định RAM và I/O khi ghi CSDL liên tục.</w:t>
      </w:r>
    </w:p>
    <w:p>
      <w:pPr>
        <w:pStyle w:val="ListBullet"/>
        <w:spacing w:after="60" w:line="276" w:lineRule="auto"/>
      </w:pPr>
      <w:r>
        <w:rPr>
          <w:rFonts w:ascii="Times New Roman" w:hAnsi="Times New Roman"/>
          <w:b/>
          <w:sz w:val="22"/>
        </w:rPr>
        <w:t xml:space="preserve">3. Viết thuyết minh đồ án: </w:t>
      </w:r>
      <w:r>
        <w:rPr>
          <w:rFonts w:ascii="Times New Roman" w:hAnsi="Times New Roman"/>
          <w:sz w:val="22"/>
        </w:rPr>
        <w:t>Bắt tay vào viết bản thảo Chương 3 (Thiết kế hệ thống) và Chương 4 (Hiện thực hóa) theo đề cương chi tiết đã trình bày.</w:t>
      </w:r>
    </w:p>
    <w:p>
      <w:pPr>
        <w:pStyle w:val="ListBullet"/>
        <w:spacing w:after="60" w:line="276" w:lineRule="auto"/>
      </w:pPr>
      <w:r>
        <w:rPr>
          <w:rFonts w:ascii="Times New Roman" w:hAnsi="Times New Roman"/>
          <w:b/>
          <w:sz w:val="22"/>
        </w:rPr>
        <w:t xml:space="preserve">Ý kiến xin chỉ đạo của Thầy: </w:t>
      </w:r>
      <w:r>
        <w:rPr>
          <w:rFonts w:ascii="Times New Roman" w:hAnsi="Times New Roman"/>
          <w:sz w:val="22"/>
        </w:rPr>
        <w:t>Kính mong Thầy xem xét và cho ý kiến góp ý về: (1) Cấu trúc đề cương 5 chương của đồ án; (2) Tiêu chí phán quyết điều kiện kép hình học và cơ sở thực nghiệm quét ngưỡng 30% đã xây dựng.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