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BẢN MÔ TẢ CÔNG VIỆC: KẾ TOÁN TỔNG HỢP</w:t>
      </w:r>
    </w:p>
    <w:p>
      <w:pPr>
        <w:spacing w:after="240" w:line="312"/>
        <w:jc w:val="center"/>
      </w:pPr>
      <w:r>
        <w:rPr>
          <w:rFonts w:ascii="Times New Roman" w:cs="Times New Roman" w:eastAsia="Times New Roman" w:hAnsi="Times New Roman"/>
          <w:i/>
          <w:iCs/>
          <w:sz w:val="26"/>
          <w:szCs w:val="26"/>
        </w:rPr>
        <w:t xml:space="preserve">Công ty TNHH Gốm Minh Phát</w:t>
      </w:r>
    </w:p>
    <w:p>
      <w:pPr>
        <w:pStyle w:val="Heading2"/>
        <w:spacing w:after="120" w:before="240"/>
      </w:pPr>
      <w:r>
        <w:rPr>
          <w:rFonts w:ascii="Times New Roman" w:cs="Times New Roman" w:eastAsia="Times New Roman" w:hAnsi="Times New Roman"/>
          <w:b/>
          <w:bCs/>
          <w:sz w:val="28"/>
          <w:szCs w:val="28"/>
        </w:rPr>
        <w:t xml:space="preserve">I. THÔNG TIN CHUNG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p>
            <w:pPr>
              <w:spacing w:after="0" w:line="312"/>
              <w:jc w:val="center"/>
            </w:pPr>
            <w:r>
              <w:rPr>
                <w:rFonts w:ascii="Times New Roman" w:cs="Times New Roman" w:eastAsia="Times New Roman" w:hAnsi="Times New Roman"/>
                <w:b/>
                <w:bCs/>
                <w:sz w:val="26"/>
                <w:szCs w:val="26"/>
              </w:rPr>
              <w:t xml:space="preserve">Thông tin</w:t>
            </w:r>
          </w:p>
        </w:tc>
        <w:tc>
          <w:p>
            <w:pPr>
              <w:spacing w:after="0" w:line="312"/>
              <w:jc w:val="center"/>
            </w:pPr>
            <w:r>
              <w:rPr>
                <w:rFonts w:ascii="Times New Roman" w:cs="Times New Roman" w:eastAsia="Times New Roman" w:hAnsi="Times New Roman"/>
                <w:b/>
                <w:bCs/>
                <w:sz w:val="26"/>
                <w:szCs w:val="26"/>
              </w:rPr>
              <w:t xml:space="preserve">Chi tiết</w:t>
            </w:r>
          </w:p>
        </w:tc>
      </w:tr>
      <w:tr>
        <w:tc>
          <w:p>
            <w:pPr>
              <w:spacing w:after="0" w:line="312"/>
              <w:jc w:val="both"/>
            </w:pPr>
            <w:r>
              <w:rPr>
                <w:rFonts w:ascii="Times New Roman" w:cs="Times New Roman" w:eastAsia="Times New Roman" w:hAnsi="Times New Roman"/>
                <w:sz w:val="26"/>
                <w:szCs w:val="26"/>
              </w:rPr>
              <w:t xml:space="preserve">Chức danh</w:t>
            </w:r>
          </w:p>
        </w:tc>
        <w:tc>
          <w:p>
            <w:pPr>
              <w:spacing w:after="0" w:line="312"/>
              <w:jc w:val="both"/>
            </w:pPr>
            <w:r>
              <w:rPr>
                <w:rFonts w:ascii="Times New Roman" w:cs="Times New Roman" w:eastAsia="Times New Roman" w:hAnsi="Times New Roman"/>
                <w:sz w:val="26"/>
                <w:szCs w:val="26"/>
              </w:rPr>
              <w:t xml:space="preserve">Kế toán tổng hợp</w:t>
            </w:r>
          </w:p>
        </w:tc>
      </w:tr>
      <w:tr>
        <w:tc>
          <w:p>
            <w:pPr>
              <w:spacing w:after="0" w:line="312"/>
              <w:jc w:val="both"/>
            </w:pPr>
            <w:r>
              <w:rPr>
                <w:rFonts w:ascii="Times New Roman" w:cs="Times New Roman" w:eastAsia="Times New Roman" w:hAnsi="Times New Roman"/>
                <w:sz w:val="26"/>
                <w:szCs w:val="26"/>
              </w:rPr>
              <w:t xml:space="preserve">Bộ phận / Phòng ban</w:t>
            </w:r>
          </w:p>
        </w:tc>
        <w:tc>
          <w:p>
            <w:pPr>
              <w:spacing w:after="0" w:line="312"/>
              <w:jc w:val="both"/>
            </w:pPr>
            <w:r>
              <w:rPr>
                <w:rFonts w:ascii="Times New Roman" w:cs="Times New Roman" w:eastAsia="Times New Roman" w:hAnsi="Times New Roman"/>
                <w:sz w:val="26"/>
                <w:szCs w:val="26"/>
              </w:rPr>
              <w:t xml:space="preserve">Phòng Kế toán - Tài chính</w:t>
            </w:r>
          </w:p>
        </w:tc>
      </w:tr>
      <w:tr>
        <w:tc>
          <w:p>
            <w:pPr>
              <w:spacing w:after="0" w:line="312"/>
              <w:jc w:val="both"/>
            </w:pPr>
            <w:r>
              <w:rPr>
                <w:rFonts w:ascii="Times New Roman" w:cs="Times New Roman" w:eastAsia="Times New Roman" w:hAnsi="Times New Roman"/>
                <w:sz w:val="26"/>
                <w:szCs w:val="26"/>
              </w:rPr>
              <w:t xml:space="preserve">Quản lý trực tiếp</w:t>
            </w:r>
          </w:p>
        </w:tc>
        <w:tc>
          <w:p>
            <w:pPr>
              <w:spacing w:after="0" w:line="312"/>
              <w:jc w:val="both"/>
            </w:pPr>
            <w:r>
              <w:rPr>
                <w:rFonts w:ascii="Times New Roman" w:cs="Times New Roman" w:eastAsia="Times New Roman" w:hAnsi="Times New Roman"/>
                <w:sz w:val="26"/>
                <w:szCs w:val="26"/>
              </w:rPr>
              <w:t xml:space="preserve">Kế toán trưởng / Giám đốc</w:t>
            </w:r>
          </w:p>
        </w:tc>
      </w:tr>
      <w:tr>
        <w:tc>
          <w:p>
            <w:pPr>
              <w:spacing w:after="0" w:line="312"/>
              <w:jc w:val="both"/>
            </w:pPr>
            <w:r>
              <w:rPr>
                <w:rFonts w:ascii="Times New Roman" w:cs="Times New Roman" w:eastAsia="Times New Roman" w:hAnsi="Times New Roman"/>
                <w:sz w:val="26"/>
                <w:szCs w:val="26"/>
              </w:rPr>
              <w:t xml:space="preserve">Đơn vị tuyển dụng</w:t>
            </w:r>
          </w:p>
        </w:tc>
        <w:tc>
          <w:p>
            <w:pPr>
              <w:spacing w:after="0" w:line="312"/>
              <w:jc w:val="both"/>
            </w:pPr>
            <w:r>
              <w:rPr>
                <w:rFonts w:ascii="Times New Roman" w:cs="Times New Roman" w:eastAsia="Times New Roman" w:hAnsi="Times New Roman"/>
                <w:sz w:val="26"/>
                <w:szCs w:val="26"/>
              </w:rPr>
              <w:t xml:space="preserve">Công ty TNHH Gốm Minh Phát</w:t>
            </w:r>
          </w:p>
        </w:tc>
      </w:tr>
      <w:tr>
        <w:tc>
          <w:p>
            <w:pPr>
              <w:spacing w:after="0" w:line="312"/>
              <w:jc w:val="both"/>
            </w:pPr>
            <w:r>
              <w:rPr>
                <w:rFonts w:ascii="Times New Roman" w:cs="Times New Roman" w:eastAsia="Times New Roman" w:hAnsi="Times New Roman"/>
                <w:sz w:val="26"/>
                <w:szCs w:val="26"/>
              </w:rPr>
              <w:t xml:space="preserve">Kinh nghiệm yêu cầu</w:t>
            </w:r>
          </w:p>
        </w:tc>
        <w:tc>
          <w:p>
            <w:pPr>
              <w:spacing w:after="0" w:line="312"/>
              <w:jc w:val="both"/>
            </w:pPr>
            <w:r>
              <w:rPr>
                <w:rFonts w:ascii="Times New Roman" w:cs="Times New Roman" w:eastAsia="Times New Roman" w:hAnsi="Times New Roman"/>
                <w:sz w:val="26"/>
                <w:szCs w:val="26"/>
              </w:rPr>
              <w:t xml:space="preserve">1 - 3 năm kinh nghiệm ở vị trí tương đương</w:t>
            </w:r>
          </w:p>
        </w:tc>
      </w:tr>
      <w:tr>
        <w:tc>
          <w:p>
            <w:pPr>
              <w:spacing w:after="0" w:line="312"/>
              <w:jc w:val="both"/>
            </w:pPr>
            <w:r>
              <w:rPr>
                <w:rFonts w:ascii="Times New Roman" w:cs="Times New Roman" w:eastAsia="Times New Roman" w:hAnsi="Times New Roman"/>
                <w:sz w:val="26"/>
                <w:szCs w:val="26"/>
              </w:rPr>
              <w:t xml:space="preserve">Hình thức làm việc</w:t>
            </w:r>
          </w:p>
        </w:tc>
        <w:tc>
          <w:p>
            <w:pPr>
              <w:spacing w:after="0" w:line="312"/>
              <w:jc w:val="both"/>
            </w:pPr>
            <w:r>
              <w:rPr>
                <w:rFonts w:ascii="Times New Roman" w:cs="Times New Roman" w:eastAsia="Times New Roman" w:hAnsi="Times New Roman"/>
                <w:sz w:val="26"/>
                <w:szCs w:val="26"/>
              </w:rPr>
              <w:t xml:space="preserve">Toàn thời gian cố định</w:t>
            </w:r>
          </w:p>
        </w:tc>
      </w:tr>
      <w:tr>
        <w:tc>
          <w:p>
            <w:pPr>
              <w:spacing w:after="0" w:line="312"/>
              <w:jc w:val="both"/>
            </w:pPr>
            <w:r>
              <w:rPr>
                <w:rFonts w:ascii="Times New Roman" w:cs="Times New Roman" w:eastAsia="Times New Roman" w:hAnsi="Times New Roman"/>
                <w:sz w:val="26"/>
                <w:szCs w:val="26"/>
              </w:rPr>
              <w:t xml:space="preserve">Địa điểm làm việc</w:t>
            </w:r>
          </w:p>
        </w:tc>
        <w:tc>
          <w:p>
            <w:pPr>
              <w:spacing w:after="0" w:line="312"/>
              <w:jc w:val="both"/>
            </w:pPr>
            <w:r>
              <w:rPr>
                <w:rFonts w:ascii="Times New Roman" w:cs="Times New Roman" w:eastAsia="Times New Roman" w:hAnsi="Times New Roman"/>
                <w:sz w:val="26"/>
                <w:szCs w:val="26"/>
              </w:rPr>
              <w:t xml:space="preserve">[ĐỊA CHỈ LÀM VIỆC CỤ THỂ CỦA CÔNG TY]</w:t>
            </w:r>
          </w:p>
        </w:tc>
      </w:tr>
    </w:tbl>
    <w:p>
      <w:pPr>
        <w:spacing w:after="160" w:line="312"/>
        <w:jc w:val="both"/>
      </w:pPr>
      <w:r>
        <w:rPr>
          <w:rFonts w:ascii="Times New Roman" w:cs="Times New Roman" w:eastAsia="Times New Roman" w:hAnsi="Times New Roman"/>
          <w:sz w:val="26"/>
          <w:szCs w:val="26"/>
        </w:rPr>
        <w:t xml:space="preserve"/>
      </w:r>
    </w:p>
    <w:p>
      <w:pPr>
        <w:pStyle w:val="Heading2"/>
        <w:spacing w:after="120" w:before="240"/>
      </w:pPr>
      <w:r>
        <w:rPr>
          <w:rFonts w:ascii="Times New Roman" w:cs="Times New Roman" w:eastAsia="Times New Roman" w:hAnsi="Times New Roman"/>
          <w:b/>
          <w:bCs/>
          <w:sz w:val="28"/>
          <w:szCs w:val="28"/>
        </w:rPr>
        <w:t xml:space="preserve">II. MỤC TIÊU CÔNG VIỆC</w:t>
      </w:r>
    </w:p>
    <w:p>
      <w:pPr>
        <w:spacing w:after="120" w:line="312"/>
        <w:jc w:val="both"/>
      </w:pPr>
      <w:r>
        <w:rPr>
          <w:rFonts w:ascii="Times New Roman" w:cs="Times New Roman" w:eastAsia="Times New Roman" w:hAnsi="Times New Roman"/>
          <w:sz w:val="26"/>
          <w:szCs w:val="26"/>
        </w:rPr>
        <w:t xml:space="preserve">Thực hiện và kiểm soát toàn bộ công tác hạch toán kế toán, quản lý chứng từ, kiểm soát chi phí sản xuất - kinh doanh ngành gốm sứ; lập các báo cáo thuế, báo cáo quản trị và báo cáo tài chính nội bộ định kỳ đúng hạn, chuẩn xác theo quy định pháp luật và chính sách của Công ty TNHH Gốm Minh Phát.</w:t>
      </w:r>
    </w:p>
    <w:p>
      <w:pPr>
        <w:pStyle w:val="Heading2"/>
        <w:spacing w:after="120" w:before="240"/>
      </w:pPr>
      <w:r>
        <w:rPr>
          <w:rFonts w:ascii="Times New Roman" w:cs="Times New Roman" w:eastAsia="Times New Roman" w:hAnsi="Times New Roman"/>
          <w:b/>
          <w:bCs/>
          <w:sz w:val="28"/>
          <w:szCs w:val="28"/>
        </w:rPr>
        <w:t xml:space="preserve">III. NHIỆM VỤ VÀ TRÁCH NHIỆM CHÍNH</w:t>
      </w:r>
    </w:p>
    <w:p>
      <w:pPr>
        <w:spacing w:after="120" w:line="312"/>
        <w:jc w:val="both"/>
      </w:pPr>
      <w:r>
        <w:rPr>
          <w:rFonts w:ascii="Times New Roman" w:cs="Times New Roman" w:eastAsia="Times New Roman" w:hAnsi="Times New Roman"/>
          <w:sz w:val="26"/>
          <w:szCs w:val="26"/>
        </w:rPr>
        <w:t xml:space="preserve">1. Hạch toán và kiểm soát nghiệp vụ phát sinh:</w:t>
      </w:r>
    </w:p>
    <w:p>
      <w:pPr>
        <w:spacing w:after="80" w:line="312"/>
        <w:ind w:left="420"/>
      </w:pPr>
      <w:r>
        <w:rPr>
          <w:rFonts w:ascii="Times New Roman" w:cs="Times New Roman" w:eastAsia="Times New Roman" w:hAnsi="Times New Roman"/>
          <w:sz w:val="26"/>
          <w:szCs w:val="26"/>
        </w:rPr>
        <w:t xml:space="preserve">– Kiểm tra tính hợp lý, hợp lệ và hợp pháp của toàn bộ chứng từ đầu vào, đầu ra trước khi hạch toán.</w:t>
      </w:r>
    </w:p>
    <w:p>
      <w:pPr>
        <w:spacing w:after="80" w:line="312"/>
        <w:ind w:left="420"/>
      </w:pPr>
      <w:r>
        <w:rPr>
          <w:rFonts w:ascii="Times New Roman" w:cs="Times New Roman" w:eastAsia="Times New Roman" w:hAnsi="Times New Roman"/>
          <w:sz w:val="26"/>
          <w:szCs w:val="26"/>
        </w:rPr>
        <w:t xml:space="preserve">– Thực hiện hạch toán các nghiệp vụ kinh tế phát sinh: thu, chi, mua hàng, bán hàng, tiền lương, công nợ, chi phí sản xuất và giá thành sản phẩm gốm sứ trên phần mềm kế toán.</w:t>
      </w:r>
    </w:p>
    <w:p>
      <w:pPr>
        <w:spacing w:after="80" w:line="312"/>
        <w:ind w:left="420"/>
      </w:pPr>
      <w:r>
        <w:rPr>
          <w:rFonts w:ascii="Times New Roman" w:cs="Times New Roman" w:eastAsia="Times New Roman" w:hAnsi="Times New Roman"/>
          <w:sz w:val="26"/>
          <w:szCs w:val="26"/>
        </w:rPr>
        <w:t xml:space="preserve">– Theo dõi, đối chiếu và đôn đốc thu hồi công nợ phải thu của khách hàng; kiểm soát lịch thanh toán công nợ phải trả nhà cung cấp.</w:t>
      </w:r>
    </w:p>
    <w:p>
      <w:pPr>
        <w:spacing w:after="80" w:line="312"/>
        <w:ind w:left="420"/>
      </w:pPr>
      <w:r>
        <w:rPr>
          <w:rFonts w:ascii="Times New Roman" w:cs="Times New Roman" w:eastAsia="Times New Roman" w:hAnsi="Times New Roman"/>
          <w:sz w:val="26"/>
          <w:szCs w:val="26"/>
        </w:rPr>
        <w:t xml:space="preserve">– Phối hợp với thủ kho kiểm kê định kỳ/đột xuất tồn kho nguyên vật liệu (đất sét, men màu, phụ gia, bao bì...) và thành phẩm gốm sứ.</w:t>
      </w:r>
    </w:p>
    <w:p>
      <w:pPr>
        <w:spacing w:after="120" w:line="312"/>
        <w:jc w:val="both"/>
      </w:pPr>
      <w:r>
        <w:rPr>
          <w:rFonts w:ascii="Times New Roman" w:cs="Times New Roman" w:eastAsia="Times New Roman" w:hAnsi="Times New Roman"/>
          <w:sz w:val="26"/>
          <w:szCs w:val="26"/>
        </w:rPr>
        <w:t xml:space="preserve">2. Kê khai thuế và lập báo cáo tài chính:</w:t>
      </w:r>
    </w:p>
    <w:p>
      <w:pPr>
        <w:spacing w:after="80" w:line="312"/>
        <w:ind w:left="420"/>
      </w:pPr>
      <w:r>
        <w:rPr>
          <w:rFonts w:ascii="Times New Roman" w:cs="Times New Roman" w:eastAsia="Times New Roman" w:hAnsi="Times New Roman"/>
          <w:sz w:val="26"/>
          <w:szCs w:val="26"/>
        </w:rPr>
        <w:t xml:space="preserve">– Lập các tờ khai thuế định kỳ: Thuế GTGT, TNCN, TNDN tạm tính, báo cáo tình hình sử dụng hóa đơn (nếu có) theo đúng quy định hiện hành.</w:t>
      </w:r>
    </w:p>
    <w:p>
      <w:pPr>
        <w:spacing w:after="80" w:line="312"/>
        <w:ind w:left="420"/>
      </w:pPr>
      <w:r>
        <w:rPr>
          <w:rFonts w:ascii="Times New Roman" w:cs="Times New Roman" w:eastAsia="Times New Roman" w:hAnsi="Times New Roman"/>
          <w:sz w:val="26"/>
          <w:szCs w:val="26"/>
        </w:rPr>
        <w:t xml:space="preserve">– Lập Báo cáo tài chính năm, Quyết toán thuế TNDN, Quyết toán thuế TNCN cuối năm.</w:t>
      </w:r>
    </w:p>
    <w:p>
      <w:pPr>
        <w:spacing w:after="80" w:line="312"/>
        <w:ind w:left="420"/>
      </w:pPr>
      <w:r>
        <w:rPr>
          <w:rFonts w:ascii="Times New Roman" w:cs="Times New Roman" w:eastAsia="Times New Roman" w:hAnsi="Times New Roman"/>
          <w:sz w:val="26"/>
          <w:szCs w:val="26"/>
        </w:rPr>
        <w:t xml:space="preserve">– Lập các báo cáo quản trị nội bộ định kỳ hàng tuần, hàng tháng hoặc theo yêu cầu của Ban Giám đốc (Báo cáo doanh thu, chi phí, dòng tiền, công nợ, giá thành sản phẩm).</w:t>
      </w:r>
    </w:p>
    <w:p>
      <w:pPr>
        <w:spacing w:after="120" w:line="312"/>
        <w:jc w:val="both"/>
      </w:pPr>
      <w:r>
        <w:rPr>
          <w:rFonts w:ascii="Times New Roman" w:cs="Times New Roman" w:eastAsia="Times New Roman" w:hAnsi="Times New Roman"/>
          <w:sz w:val="26"/>
          <w:szCs w:val="26"/>
        </w:rPr>
        <w:t xml:space="preserve">3. Lưu trữ và các nhiệm vụ khác:</w:t>
      </w:r>
    </w:p>
    <w:p>
      <w:pPr>
        <w:spacing w:after="80" w:line="312"/>
        <w:ind w:left="420"/>
      </w:pPr>
      <w:r>
        <w:rPr>
          <w:rFonts w:ascii="Times New Roman" w:cs="Times New Roman" w:eastAsia="Times New Roman" w:hAnsi="Times New Roman"/>
          <w:sz w:val="26"/>
          <w:szCs w:val="26"/>
        </w:rPr>
        <w:t xml:space="preserve">– Sắp xếp, lưu trữ và bảo quản chứng từ, sổ sách kế toán cẩn thận, bảo mật theo đúng quy chuẩn pháp lý.</w:t>
      </w:r>
    </w:p>
    <w:p>
      <w:pPr>
        <w:spacing w:after="80" w:line="312"/>
        <w:ind w:left="420"/>
      </w:pPr>
      <w:r>
        <w:rPr>
          <w:rFonts w:ascii="Times New Roman" w:cs="Times New Roman" w:eastAsia="Times New Roman" w:hAnsi="Times New Roman"/>
          <w:sz w:val="26"/>
          <w:szCs w:val="26"/>
        </w:rPr>
        <w:t xml:space="preserve">– Phối hợp giải trình số liệu với cơ quan thuế, đoàn kiểm toán hoặc đối tác khi có yêu cầu.</w:t>
      </w:r>
    </w:p>
    <w:p>
      <w:pPr>
        <w:spacing w:after="80" w:line="312"/>
        <w:ind w:left="420"/>
      </w:pPr>
      <w:r>
        <w:rPr>
          <w:rFonts w:ascii="Times New Roman" w:cs="Times New Roman" w:eastAsia="Times New Roman" w:hAnsi="Times New Roman"/>
          <w:sz w:val="26"/>
          <w:szCs w:val="26"/>
        </w:rPr>
        <w:t xml:space="preserve">– Thực hiện các công việc chuyên môn khác theo sự phân công của Kế toán trưởng hoặc Ban Giám đốc.</w:t>
      </w:r>
    </w:p>
    <w:p>
      <w:pPr>
        <w:pStyle w:val="Heading2"/>
        <w:spacing w:after="120" w:before="240"/>
      </w:pPr>
      <w:r>
        <w:rPr>
          <w:rFonts w:ascii="Times New Roman" w:cs="Times New Roman" w:eastAsia="Times New Roman" w:hAnsi="Times New Roman"/>
          <w:b/>
          <w:bCs/>
          <w:sz w:val="28"/>
          <w:szCs w:val="28"/>
        </w:rPr>
        <w:t xml:space="preserve">IV. YÊU CẦU NĂNG LỰC VÀ KINH NGHIỆM</w:t>
      </w:r>
    </w:p>
    <w:p>
      <w:pPr>
        <w:spacing w:after="80" w:line="312"/>
        <w:ind w:left="420"/>
      </w:pPr>
      <w:r>
        <w:rPr>
          <w:rFonts w:ascii="Times New Roman" w:cs="Times New Roman" w:eastAsia="Times New Roman" w:hAnsi="Times New Roman"/>
          <w:sz w:val="26"/>
          <w:szCs w:val="26"/>
        </w:rPr>
        <w:t xml:space="preserve">– Trình độ chuyên môn: Tốt nghiệp Cao đẳng, Đại học chuyên ngành Kế toán, Kiểm toán, Tài chính doanh nghiệp hoặc các ngành liên quan.</w:t>
      </w:r>
    </w:p>
    <w:p>
      <w:pPr>
        <w:spacing w:after="80" w:line="312"/>
        <w:ind w:left="420"/>
      </w:pPr>
      <w:r>
        <w:rPr>
          <w:rFonts w:ascii="Times New Roman" w:cs="Times New Roman" w:eastAsia="Times New Roman" w:hAnsi="Times New Roman"/>
          <w:sz w:val="26"/>
          <w:szCs w:val="26"/>
        </w:rPr>
        <w:t xml:space="preserve">– Kinh nghiệm: Có từ 1 đến 3 năm kinh nghiệm làm việc ở vị trí Kế toán tổng hợp (ưu tiên ứng viên có kinh nghiệm trong ngành sản xuất, gia công hoặc thương mại hàng gốm sứ/vật liệu xây dựng).</w:t>
      </w:r>
    </w:p>
    <w:p>
      <w:pPr>
        <w:spacing w:after="80" w:line="312"/>
        <w:ind w:left="420"/>
      </w:pPr>
      <w:r>
        <w:rPr>
          <w:rFonts w:ascii="Times New Roman" w:cs="Times New Roman" w:eastAsia="Times New Roman" w:hAnsi="Times New Roman"/>
          <w:sz w:val="26"/>
          <w:szCs w:val="26"/>
        </w:rPr>
        <w:t xml:space="preserve">– Kỹ năng chuyên môn: Nắm vững chế độ kế toán doanh nghiệp hiện hành, luật thuế và các thông tư, nghị định liên quan.</w:t>
      </w:r>
    </w:p>
    <w:p>
      <w:pPr>
        <w:spacing w:after="80" w:line="312"/>
        <w:ind w:left="420"/>
      </w:pPr>
      <w:r>
        <w:rPr>
          <w:rFonts w:ascii="Times New Roman" w:cs="Times New Roman" w:eastAsia="Times New Roman" w:hAnsi="Times New Roman"/>
          <w:sz w:val="26"/>
          <w:szCs w:val="26"/>
        </w:rPr>
        <w:t xml:space="preserve">– Tin học: Sử dụng thành thạo phần mềm kế toán (như MISA, FAST, Bravo...) và Excel văn phòng nâng cao.</w:t>
      </w:r>
    </w:p>
    <w:p>
      <w:pPr>
        <w:spacing w:after="80" w:line="312"/>
        <w:ind w:left="420"/>
      </w:pPr>
      <w:r>
        <w:rPr>
          <w:rFonts w:ascii="Times New Roman" w:cs="Times New Roman" w:eastAsia="Times New Roman" w:hAnsi="Times New Roman"/>
          <w:sz w:val="26"/>
          <w:szCs w:val="26"/>
        </w:rPr>
        <w:t xml:space="preserve">– Phẩm chất: Trung thực, cẩn thận, tỉ mỉ, có tinh thần trách nhiệm cao và khả năng bảo mật thông tin tài chính doanh nghiệp.</w:t>
      </w:r>
    </w:p>
    <w:p>
      <w:pPr>
        <w:spacing w:after="80" w:line="312"/>
        <w:ind w:left="420"/>
      </w:pPr>
      <w:r>
        <w:rPr>
          <w:rFonts w:ascii="Times New Roman" w:cs="Times New Roman" w:eastAsia="Times New Roman" w:hAnsi="Times New Roman"/>
          <w:sz w:val="26"/>
          <w:szCs w:val="26"/>
        </w:rPr>
        <w:t xml:space="preserve">– Kỹ năng mềm: Giao tiếp tốt, có khả năng làm việc độc lập và phối hợp làm việc nhóm hiệu quả, chịu được áp lực công việc trong các đợt quyết toán.</w:t>
      </w:r>
    </w:p>
    <w:p>
      <w:pPr>
        <w:pStyle w:val="Heading2"/>
        <w:spacing w:after="120" w:before="240"/>
      </w:pPr>
      <w:r>
        <w:rPr>
          <w:rFonts w:ascii="Times New Roman" w:cs="Times New Roman" w:eastAsia="Times New Roman" w:hAnsi="Times New Roman"/>
          <w:b/>
          <w:bCs/>
          <w:sz w:val="28"/>
          <w:szCs w:val="28"/>
        </w:rPr>
        <w:t xml:space="preserve">V. QUYỀN LỢI VÀ CHẾ ĐỘ ĐÃI NGỘ</w:t>
      </w:r>
    </w:p>
    <w:p>
      <w:pPr>
        <w:spacing w:after="80" w:line="312"/>
        <w:ind w:left="420"/>
      </w:pPr>
      <w:r>
        <w:rPr>
          <w:rFonts w:ascii="Times New Roman" w:cs="Times New Roman" w:eastAsia="Times New Roman" w:hAnsi="Times New Roman"/>
          <w:sz w:val="26"/>
          <w:szCs w:val="26"/>
        </w:rPr>
        <w:t xml:space="preserve">– Mức lương: Thỏa thuận theo năng lực (dự kiến trong khoảng [MỨC LƯƠNG ĐỀ XUẤT, VÍ DỤ: 10.000.000 - 15.000.000 VNĐ/THÁNG]).</w:t>
      </w:r>
    </w:p>
    <w:p>
      <w:pPr>
        <w:spacing w:after="80" w:line="312"/>
        <w:ind w:left="420"/>
      </w:pPr>
      <w:r>
        <w:rPr>
          <w:rFonts w:ascii="Times New Roman" w:cs="Times New Roman" w:eastAsia="Times New Roman" w:hAnsi="Times New Roman"/>
          <w:sz w:val="26"/>
          <w:szCs w:val="26"/>
        </w:rPr>
        <w:t xml:space="preserve">– Thưởng: Thưởng các dịp Lễ, Tết, thưởng hiệu quả công việc và tháng lương thứ 13 theo kết quả kinh doanh của công ty.</w:t>
      </w:r>
    </w:p>
    <w:p>
      <w:pPr>
        <w:spacing w:after="80" w:line="312"/>
        <w:ind w:left="420"/>
      </w:pPr>
      <w:r>
        <w:rPr>
          <w:rFonts w:ascii="Times New Roman" w:cs="Times New Roman" w:eastAsia="Times New Roman" w:hAnsi="Times New Roman"/>
          <w:sz w:val="26"/>
          <w:szCs w:val="26"/>
        </w:rPr>
        <w:t xml:space="preserve">– Bảo hiểm: Đóng BHXH, BHYT, BHTN đầy đủ theo quy định của Luật Lao động sau khi hết thời gian thử việc.</w:t>
      </w:r>
    </w:p>
    <w:p>
      <w:pPr>
        <w:spacing w:after="80" w:line="312"/>
        <w:ind w:left="420"/>
      </w:pPr>
      <w:r>
        <w:rPr>
          <w:rFonts w:ascii="Times New Roman" w:cs="Times New Roman" w:eastAsia="Times New Roman" w:hAnsi="Times New Roman"/>
          <w:sz w:val="26"/>
          <w:szCs w:val="26"/>
        </w:rPr>
        <w:t xml:space="preserve">– Chế độ đãi ngộ: Phụ cấp ăn trưa, công tác phí, quà sinh nhật, chế độ hiếu hỷ, du lịch/nghỉ mát hàng năm.</w:t>
      </w:r>
    </w:p>
    <w:p>
      <w:pPr>
        <w:spacing w:after="80" w:line="312"/>
        <w:ind w:left="420"/>
      </w:pPr>
      <w:r>
        <w:rPr>
          <w:rFonts w:ascii="Times New Roman" w:cs="Times New Roman" w:eastAsia="Times New Roman" w:hAnsi="Times New Roman"/>
          <w:sz w:val="26"/>
          <w:szCs w:val="26"/>
        </w:rPr>
        <w:t xml:space="preserve">– Môi trường làm việc: Thân thiện, năng động, khuyến khích sự đóng góp ý kiến và có cơ hội thăng tiến lên vị trí Kế toán trưởng/Trưởng phòng.</w:t>
      </w:r>
    </w:p>
    <w:p>
      <w:pPr>
        <w:pStyle w:val="Heading2"/>
        <w:spacing w:after="120" w:before="240"/>
      </w:pPr>
      <w:r>
        <w:rPr>
          <w:rFonts w:ascii="Times New Roman" w:cs="Times New Roman" w:eastAsia="Times New Roman" w:hAnsi="Times New Roman"/>
          <w:b/>
          <w:bCs/>
          <w:sz w:val="28"/>
          <w:szCs w:val="28"/>
        </w:rPr>
        <w:t xml:space="preserve">VI. THỜI GIAN LÀM VIỆC VÀ HỒ SƠ ỨNG TUYỂN</w:t>
      </w:r>
    </w:p>
    <w:p>
      <w:pPr>
        <w:spacing w:after="80" w:line="312"/>
        <w:ind w:left="420"/>
      </w:pPr>
      <w:r>
        <w:rPr>
          <w:rFonts w:ascii="Times New Roman" w:cs="Times New Roman" w:eastAsia="Times New Roman" w:hAnsi="Times New Roman"/>
          <w:sz w:val="26"/>
          <w:szCs w:val="26"/>
        </w:rPr>
        <w:t xml:space="preserve">– Thời gian làm việc: Từ Thứ Hai đến Thứ Bảy (Sáng: 08:00 - 12:00, Chiều: 13:30 - 17:30; nghỉ Chủ nhật và các ngày lễ theo quy định).</w:t>
      </w:r>
    </w:p>
    <w:p>
      <w:pPr>
        <w:spacing w:after="80" w:line="312"/>
        <w:ind w:left="420"/>
      </w:pPr>
      <w:r>
        <w:rPr>
          <w:rFonts w:ascii="Times New Roman" w:cs="Times New Roman" w:eastAsia="Times New Roman" w:hAnsi="Times New Roman"/>
          <w:sz w:val="26"/>
          <w:szCs w:val="26"/>
        </w:rPr>
        <w:t xml:space="preserve">– Hồ sơ ứng tuyển bao gồm: Sơ yếu lý lịch (CV), Bằng tốt nghiệp và các chứng chỉ chuyên ngành liên quan, Bản sao Căn cước công dân.</w:t>
      </w:r>
    </w:p>
    <w:p>
      <w:pPr>
        <w:spacing w:after="80" w:line="312"/>
        <w:ind w:left="420"/>
      </w:pPr>
      <w:r>
        <w:rPr>
          <w:rFonts w:ascii="Times New Roman" w:cs="Times New Roman" w:eastAsia="Times New Roman" w:hAnsi="Times New Roman"/>
          <w:sz w:val="26"/>
          <w:szCs w:val="26"/>
        </w:rPr>
        <w:t xml:space="preserve">– Kênh tiếp nhận hồ sơ: Gửi trực tiếp tại văn phòng công ty hoặc qua email: [EMAIL TUYỂN DỤNG CỦA CÔNG TY].</w:t>
      </w:r>
    </w:p>
    <w:p>
      <w:pPr>
        <w:spacing w:after="80" w:line="312"/>
        <w:jc w:val="both"/>
      </w:pPr>
      <w:r>
        <w:rPr>
          <w:rFonts w:ascii="Times New Roman" w:cs="Times New Roman" w:eastAsia="Times New Roman" w:hAnsi="Times New Roman"/>
          <w:b/>
          <w:bCs/>
          <w:sz w:val="26"/>
          <w:szCs w:val="26"/>
        </w:rPr>
        <w:t xml:space="preserve">Ghi chú của Trợ Thủ</w:t>
      </w:r>
    </w:p>
    <w:p>
      <w:pPr>
        <w:spacing w:after="60" w:line="312"/>
        <w:jc w:val="both"/>
      </w:pPr>
      <w:r>
        <w:rPr>
          <w:rFonts w:ascii="Times New Roman" w:cs="Times New Roman" w:eastAsia="Times New Roman" w:hAnsi="Times New Roman"/>
          <w:i/>
          <w:iCs/>
          <w:sz w:val="26"/>
          <w:szCs w:val="26"/>
        </w:rPr>
        <w:t xml:space="preserve">– Cần điền địa chỉ làm việc cụ thể của Công ty TNHH Gốm Minh Phát tại mục Thông tin chung.</w:t>
      </w:r>
    </w:p>
    <w:p>
      <w:pPr>
        <w:spacing w:after="60" w:line="312"/>
        <w:jc w:val="both"/>
      </w:pPr>
      <w:r>
        <w:rPr>
          <w:rFonts w:ascii="Times New Roman" w:cs="Times New Roman" w:eastAsia="Times New Roman" w:hAnsi="Times New Roman"/>
          <w:i/>
          <w:iCs/>
          <w:sz w:val="26"/>
          <w:szCs w:val="26"/>
        </w:rPr>
        <w:t xml:space="preserve">– Cần xác định chính xác dải lương chính thức và các phụ cấp cụ thể tại mục Quyền lợi và chế độ đãi ngộ.</w:t>
      </w:r>
    </w:p>
    <w:p>
      <w:pPr>
        <w:spacing w:after="60" w:line="312"/>
        <w:jc w:val="both"/>
      </w:pPr>
      <w:r>
        <w:rPr>
          <w:rFonts w:ascii="Times New Roman" w:cs="Times New Roman" w:eastAsia="Times New Roman" w:hAnsi="Times New Roman"/>
          <w:i/>
          <w:iCs/>
          <w:sz w:val="26"/>
          <w:szCs w:val="26"/>
        </w:rPr>
        <w:t xml:space="preserve">– Cần bổ sung thông tin liên hệ và email nhận hồ sơ tại mục Thời gian làm việc và hồ sơ ứng tuyển.</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2026-08-24T14:52:41.111Z</dcterms:created>
  <dcterms:modified xsi:type="dcterms:W3CDTF">2026-08-24T14:52:41.111Z</dcterms:modified>
</cp:coreProperties>
</file>

<file path=docProps/custom.xml><?xml version="1.0" encoding="utf-8"?>
<Properties xmlns="http://schemas.openxmlformats.org/officeDocument/2006/custom-properties" xmlns:vt="http://schemas.openxmlformats.org/officeDocument/2006/docPropsVTypes"/>
</file>