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3</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33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[[DVBiToCao]]</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Pr>
          <w:color w:val="000000"/>
        </w:rPr>
        <w:t>33</w:t>
      </w:r>
      <w:r w:rsidRPr="00760F8D">
        <w:rPr>
          <w:color w:val="000000"/>
          <w:vertAlign w:val="superscript"/>
        </w:rPr>
        <w:t>2</w:t>
      </w:r>
      <w:r w:rsidRPr="00760F8D">
        <w:rPr>
          <w:color w:val="000000"/>
        </w:rPr>
        <w:t xml:space="preserve"> đã ban hành Quyết định số </w:t>
      </w:r>
      <w:r>
        <w:rPr>
          <w:color w:val="000000"/>
        </w:rPr>
        <w:t>[[So</w:t>
      </w:r>
      <w:r w:rsidR="00DF5037">
        <w:rPr>
          <w:color w:val="000000"/>
        </w:rPr>
        <w:t>QD</w:t>
      </w:r>
      <w:r>
        <w:rPr>
          <w:color w:val="000000"/>
        </w:rPr>
        <w:t>]]</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33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