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that data analysis resolves for a business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2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8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49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