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8323C"/>
          <w:sz w:val="24"/>
        </w:rPr>
        <w:t>BỘ GIÁO DỤC VÀ ĐÀO TẠO</w:t>
        <w:br/>
        <w:t>TRƯỜNG ĐẠI HỌC - KHOA CÔNG NGHỆ THÔNG TIN</w:t>
        <w:br/>
        <w:t>CHƯƠNG TRÌNH KHÓA LUẬN TỐT NGHIỆP NĂM 2026</w:t>
      </w:r>
    </w:p>
    <w:p>
      <w:pPr>
        <w:jc w:val="center"/>
      </w:pPr>
      <w:r>
        <w:rPr>
          <w:color w:val="A0AEC0"/>
        </w:rPr>
        <w:t>━━━━━━━━━━━━━━━━━━━━━━━━ ✦ ✦ ✦ ━━━━━━━━━━━━━━━━━━━━━━━━</w:t>
      </w:r>
    </w:p>
    <w:p>
      <w:pPr>
        <w:spacing w:after="240"/>
      </w:pPr>
    </w:p>
    <w:p>
      <w:pPr>
        <w:jc w:val="center"/>
      </w:pPr>
      <w:r>
        <w:rPr>
          <w:b/>
          <w:color w:val="1A365D"/>
          <w:sz w:val="36"/>
        </w:rPr>
        <w:t>BÁO CÁO KỸ THUẬT VỀ SỰ ĐIỀU CHỈNH &amp; NÂNG CẤP HỆ THỐNG</w:t>
        <w:br/>
        <w:t>THEO TÀI LIỆU 'MÔ TẢ NGHIỆP VỤ REVISION'</w:t>
      </w:r>
    </w:p>
    <w:p>
      <w:pPr>
        <w:jc w:val="center"/>
      </w:pPr>
      <w:r>
        <w:rPr>
          <w:i/>
          <w:color w:val="2B6CB0"/>
          <w:sz w:val="26"/>
        </w:rPr>
        <w:t>Đề tài: Hệ thống Hỗ trợ Quản lý Hồ sơ KH&amp;CN Tích hợp Phân loại Tự động và Kiểm tra Tính Hợp lệ</w:t>
        <w:br/>
        <w:t>(Mã đề tài nghiên cứu: CNTT-KLCN001)</w:t>
      </w:r>
    </w:p>
    <w:p>
      <w:pPr>
        <w:spacing w:after="320"/>
      </w:pPr>
    </w:p>
    <w:tbl>
      <w:tblPr>
        <w:tblW w:type="auto" w:w="0"/>
        <w:jc w:val="center"/>
        <w:tblLook w:firstColumn="1" w:firstRow="1" w:lastColumn="0" w:lastRow="0" w:noHBand="0" w:noVBand="1" w:val="04A0"/>
      </w:tblPr>
      <w:tblGrid>
        <w:gridCol w:w="4824"/>
        <w:gridCol w:w="4824"/>
      </w:tblGrid>
      <w:tr>
        <w:tc>
          <w:tcPr>
            <w:tcW w:type="dxa" w:w="3744"/>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Cơ sở dữ liệu triển khai:</w:t>
            </w:r>
          </w:p>
        </w:tc>
        <w:tc>
          <w:tcPr>
            <w:tcW w:type="dxa" w:w="6048"/>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Microsoft SQL Server 2025 (SSMS) - Database: KHCN_AI_System</w:t>
            </w:r>
          </w:p>
        </w:tc>
      </w:tr>
      <w:tr>
        <w:tc>
          <w:tcPr>
            <w:tcW w:type="dxa" w:w="3744"/>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Tác giả / Giảng viên nộp hồ sơ:</w:t>
            </w:r>
          </w:p>
        </w:tc>
        <w:tc>
          <w:tcPr>
            <w:tcW w:type="dxa" w:w="6048"/>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TS. Nguyễn Thành Tài (tacgia@uni.edu.vn - Khoa CNTT)</w:t>
            </w:r>
          </w:p>
        </w:tc>
      </w:tr>
      <w:tr>
        <w:tc>
          <w:tcPr>
            <w:tcW w:type="dxa" w:w="3744"/>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Cán bộ thẩm định (Đơn vị QL):</w:t>
            </w:r>
          </w:p>
        </w:tc>
        <w:tc>
          <w:tcPr>
            <w:tcW w:type="dxa" w:w="6048"/>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TS. Lê Thanh Phong (canbo@uni.edu.vn - Phòng KH&amp;CN)</w:t>
            </w:r>
          </w:p>
        </w:tc>
      </w:tr>
      <w:tr>
        <w:tc>
          <w:tcPr>
            <w:tcW w:type="dxa" w:w="3744"/>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Quản trị viên hệ thống (Admin):</w:t>
            </w:r>
          </w:p>
        </w:tc>
        <w:tc>
          <w:tcPr>
            <w:tcW w:type="dxa" w:w="6048"/>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PGS.TS. Nguyễn Thành Phát (admin@uni.edu.vn - Ban Giám hiệu)</w:t>
            </w:r>
          </w:p>
        </w:tc>
      </w:tr>
      <w:tr>
        <w:tc>
          <w:tcPr>
            <w:tcW w:type="dxa" w:w="3744"/>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Thời điểm áp dụng điều chỉnh:</w:t>
            </w:r>
          </w:p>
        </w:tc>
        <w:tc>
          <w:tcPr>
            <w:tcW w:type="dxa" w:w="6048"/>
            <w:shd w:fill="F7FAFC"/>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2"/>
              </w:rPr>
              <w:t>Tháng 10/2026 - Chuẩn bị nghiệm thu Khóa luận Tốt nghiệp</w:t>
            </w:r>
          </w:p>
        </w:tc>
      </w:tr>
    </w:tbl>
    <w:p>
      <w:pPr>
        <w:spacing w:after="360"/>
      </w:pPr>
    </w:p>
    <w:p>
      <w:pPr>
        <w:pStyle w:val="Heading1"/>
      </w:pPr>
      <w:r>
        <w:t>CHƯƠNG 1: TỔNG QUAN BỐI CẢNH &amp; NGUYÊN DO ĐIỀU CHỈNH</w:t>
      </w:r>
    </w:p>
    <w:p>
      <w:r>
        <w:t xml:space="preserve">Trong quá trình phát triển hệ thống và thẩm định tài liệu nghiệp vụ, bản cập nhật </w:t>
      </w:r>
      <w:r>
        <w:rPr>
          <w:b/>
        </w:rPr>
        <w:t>Mô tả nghiệp vụ rivision.docx</w:t>
      </w:r>
      <w:r>
        <w:t xml:space="preserve"> đã đưa ra những định hướng nghiệp vụ thực tế và sâu sát hơn với quy trình quản lý khoa học tại các trường đại học. Cụ thể có 3 nguyên do cốt lõi dẫn đến đợt điều chỉnh này:</w:t>
      </w:r>
    </w:p>
    <w:p>
      <w:pPr>
        <w:pStyle w:val="ListBullet"/>
      </w:pPr>
      <w:r>
        <w:rPr>
          <w:b/>
        </w:rPr>
        <w:t xml:space="preserve">Tập trung hóa vào hai mảng công trình trọng tâm: </w:t>
      </w:r>
      <w:r>
        <w:t xml:space="preserve">Thực tế tại các cơ sở giáo dục đại học, hơn 90% khối lượng hồ sơ KH&amp;CN tập trung vào </w:t>
      </w:r>
      <w:r>
        <w:rPr>
          <w:b/>
        </w:rPr>
        <w:t>Bài báo khoa học</w:t>
      </w:r>
      <w:r>
        <w:t xml:space="preserve"> và </w:t>
      </w:r>
      <w:r>
        <w:rPr>
          <w:b/>
        </w:rPr>
        <w:t>Đề tài nghiên cứu khoa học</w:t>
      </w:r>
      <w:r>
        <w:t>. Việc dùng chung một biểu mẫu giản lược trước đây làm thiếu hụt các trường dữ liệu quan trọng như mã DOI, số trang, chỉ mục (đối với bài báo) và mã đề tài, cấp quản lý, kinh phí, chủ nhiệm (đối với đề tài).</w:t>
      </w:r>
    </w:p>
    <w:p>
      <w:pPr>
        <w:pStyle w:val="ListBullet"/>
      </w:pPr>
      <w:r>
        <w:rPr>
          <w:b/>
        </w:rPr>
        <w:t xml:space="preserve">Làm rõ bản chất nghiệp vụ xét duyệt (Kiểm tra tính hợp lệ): </w:t>
      </w:r>
      <w:r>
        <w:t xml:space="preserve">Tài liệu Revision nhấn mạnh: </w:t>
      </w:r>
      <w:r>
        <w:rPr>
          <w:b/>
        </w:rPr>
        <w:t>Xét duyệt để thực hiện hoàn toàn khác với Xét duyệt/Kiểm tra tính hợp lệ</w:t>
      </w:r>
      <w:r>
        <w:t>. Hệ thống này thực hiện vai trò kiểm tra tính hợp lệ của các công trình đã hoàn thành hoặc bài báo đã công bố, nhằm thẩm định tính chính xác, phòng ngừa gian lận học thuật và công nhận thành tích thi đua/khen thưởng.</w:t>
      </w:r>
    </w:p>
    <w:p>
      <w:pPr>
        <w:pStyle w:val="ListBullet"/>
      </w:pPr>
      <w:r>
        <w:rPr>
          <w:b/>
        </w:rPr>
        <w:t xml:space="preserve">Bổ sung quy trình hoàn thiện hồ sơ với trạng thái 'Yêu cầu bổ sung': </w:t>
      </w:r>
      <w:r>
        <w:t>Trong thực tế, khi hồ sơ thiếu minh chứng hoặc khai sai nhẹ, cán bộ không từ chối ngay mà cần yêu cầu tác giả bổ sung. Hệ thống cũ thiếu trạng thái này và khóa quyền sửa của tác giả, gây ách tắc quy trình.</w:t>
      </w:r>
    </w:p>
    <w:p>
      <w:pPr>
        <w:pStyle w:val="Heading1"/>
      </w:pPr>
      <w:r>
        <w:t>CHƯƠNG 2: BẢNG ĐỐI CHIẾU CHI TIẾT TRƯỚC VÀ SAU ĐIỀU CHỈNH</w:t>
      </w:r>
    </w:p>
    <w:p>
      <w:r>
        <w:t>Bảng dưới đây tổng hợp chi tiết toàn bộ các nội dung thay đổi giữa bản mô tả nghiệp vụ ban đầu và bản Revision đã được tích hợp hoàn tất vào hệ thống:</w:t>
      </w:r>
    </w:p>
    <w:tbl>
      <w:tblPr>
        <w:tblW w:type="auto" w:w="0"/>
        <w:jc w:val="center"/>
        <w:tblLook w:firstColumn="1" w:firstRow="1" w:lastColumn="0" w:lastRow="0" w:noHBand="0" w:noVBand="1" w:val="04A0"/>
      </w:tblPr>
      <w:tblGrid>
        <w:gridCol w:w="2412"/>
        <w:gridCol w:w="2412"/>
        <w:gridCol w:w="2412"/>
        <w:gridCol w:w="2412"/>
      </w:tblGrid>
      <w:tr>
        <w:tc>
          <w:tcPr>
            <w:tcW w:type="dxa" w:w="2412"/>
            <w:shd w:fill="1A365D"/>
            <w:tcMar>
              <w:top w:w="120" w:type="dxa"/>
              <w:bottom w:w="120" w:type="dxa"/>
              <w:left w:w="150" w:type="dxa"/>
              <w:right w:w="150" w:type="dxa"/>
            </w:tcMar>
            <w:vAlign w:val="center"/>
          </w:tcPr>
          <w:p>
            <w:pPr>
              <w:spacing w:line="288" w:lineRule="auto" w:after="40" w:before="40"/>
              <w:jc w:val="center"/>
            </w:pPr>
            <w:r>
              <w:rPr>
                <w:rFonts w:ascii="Times New Roman" w:hAnsi="Times New Roman"/>
                <w:b/>
                <w:color w:val="FFFFFF"/>
                <w:sz w:val="20"/>
              </w:rPr>
              <w:t>Nghiệp vụ / Phân hệ</w:t>
            </w:r>
          </w:p>
        </w:tc>
        <w:tc>
          <w:tcPr>
            <w:tcW w:type="dxa" w:w="2412"/>
            <w:shd w:fill="1A365D"/>
            <w:tcMar>
              <w:top w:w="120" w:type="dxa"/>
              <w:bottom w:w="120" w:type="dxa"/>
              <w:left w:w="150" w:type="dxa"/>
              <w:right w:w="150" w:type="dxa"/>
            </w:tcMar>
            <w:vAlign w:val="center"/>
          </w:tcPr>
          <w:p>
            <w:pPr>
              <w:spacing w:line="288" w:lineRule="auto" w:after="40" w:before="40"/>
              <w:jc w:val="center"/>
            </w:pPr>
            <w:r>
              <w:rPr>
                <w:rFonts w:ascii="Times New Roman" w:hAnsi="Times New Roman"/>
                <w:b/>
                <w:color w:val="FFFFFF"/>
                <w:sz w:val="20"/>
              </w:rPr>
              <w:t>Trước điều chỉnh (Bản gốc)</w:t>
            </w:r>
          </w:p>
        </w:tc>
        <w:tc>
          <w:tcPr>
            <w:tcW w:type="dxa" w:w="2412"/>
            <w:shd w:fill="1A365D"/>
            <w:tcMar>
              <w:top w:w="120" w:type="dxa"/>
              <w:bottom w:w="120" w:type="dxa"/>
              <w:left w:w="150" w:type="dxa"/>
              <w:right w:w="150" w:type="dxa"/>
            </w:tcMar>
            <w:vAlign w:val="center"/>
          </w:tcPr>
          <w:p>
            <w:pPr>
              <w:spacing w:line="288" w:lineRule="auto" w:after="40" w:before="40"/>
              <w:jc w:val="center"/>
            </w:pPr>
            <w:r>
              <w:rPr>
                <w:rFonts w:ascii="Times New Roman" w:hAnsi="Times New Roman"/>
                <w:b/>
                <w:color w:val="FFFFFF"/>
                <w:sz w:val="20"/>
              </w:rPr>
              <w:t>Sau điều chỉnh (Bản Revision)</w:t>
            </w:r>
          </w:p>
        </w:tc>
        <w:tc>
          <w:tcPr>
            <w:tcW w:type="dxa" w:w="2412"/>
            <w:shd w:fill="1A365D"/>
            <w:tcMar>
              <w:top w:w="120" w:type="dxa"/>
              <w:bottom w:w="120" w:type="dxa"/>
              <w:left w:w="150" w:type="dxa"/>
              <w:right w:w="150" w:type="dxa"/>
            </w:tcMar>
            <w:vAlign w:val="center"/>
          </w:tcPr>
          <w:p>
            <w:pPr>
              <w:spacing w:line="288" w:lineRule="auto" w:after="40" w:before="40"/>
              <w:jc w:val="center"/>
            </w:pPr>
            <w:r>
              <w:rPr>
                <w:rFonts w:ascii="Times New Roman" w:hAnsi="Times New Roman"/>
                <w:b/>
                <w:color w:val="FFFFFF"/>
                <w:sz w:val="20"/>
              </w:rPr>
              <w:t>Giải pháp kỹ thuật đã triển khai</w:t>
            </w:r>
          </w:p>
        </w:tc>
      </w:tr>
      <w:tr>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Tác nhân &amp; Vai trò thẩm định</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Cán bộ xét duyệt (Hội đồng / Phòng KH&amp;CN)</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Cán bộ xét duyệt (Đơn vị quản lý / Phòng KH&amp;CN)</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Chuẩn hóa vai trò CanBo đại diện cho chuyên viên phòng KH&amp;CN kiểm tra tính hợp lệ, đồng bộ tên cán bộ Lê Thanh Phong trên toàn bộ hệ thống.</w:t>
            </w:r>
          </w:p>
        </w:tc>
      </w:tr>
      <w:tr>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Nghiệp vụ 1: Biểu mẫu &amp; Lưu trữ Hồ sơ</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Dùng chung 1 cấu trúc form đơn lẻ cho mọi loại công trình (chỉ có tiêu đề, tóm tắt, từ khóa, tạp chí chung).</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Tập trung 2 mảng chính: Bài báo KH &amp; Đề tài NCKH. Bổ sung DOI, tập/số, số trang, chỉ mục (Bài báo) và Mã đề tài, cấp đề tài, chủ nhiệm, thành viên, thời gian, kinh phí, sản phẩm (Đề tài).</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Bổ sung 12 cột mới vào bảng HoSoKHCN trong SQL Server SSMS. Nâng cấp hoso_form.html với bộ chọn Tab động tự động co giãn các trường nhập liệu tương ứng.</w:t>
            </w:r>
          </w:p>
        </w:tc>
      </w:tr>
      <w:tr>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Nghiệp vụ 2: Quản lý danh mục chuẩn</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Chỉ có 3 danh mục: Lĩnh vực, Loại công trình, Tạp chí hợp lệ.</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Bổ sung danh mục: Cấp đề tài, Chỉ mục bài báo (WoS/Scopus/HĐGSNN), Kết quả nghiệm thu (Xuất sắc/Tốt/Đạt/Không đạt).</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Cập nhật trang catalogs.html bổ sung khối quản lý quy chuẩn cho Cấp đề tài, Chỉ mục học thuật và Đánh giá nghiệm thu.</w:t>
            </w:r>
          </w:p>
        </w:tc>
      </w:tr>
      <w:tr>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Nghiệp vụ 3: Bản chất &amp; Trạng thái thẩm định</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Tên gọi 'Xét duyệt hồ sơ'. Trạng thái: Chờ xét duyệt -&gt; Đang xét duyệt -&gt; Đã duyệt / Từ chối.</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Tên gọi 'Kiểm tra tính hợp lệ &amp; Thẩm định'. Bổ sung trạng thái 'Yêu cầu bổ sung' cho phép tác giả cập nhật lại hồ sơ.</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Cập nhật CHECK constraint trên SQL Server, bổ sung nhánh 'Yêu cầu bổ sung' trên hoso_detail.html, mở quyền sửa hoso_edit khi ở trạng thái này.</w:t>
            </w:r>
          </w:p>
        </w:tc>
      </w:tr>
      <w:tr>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Nghiệp vụ 4: Báo cáo &amp; Thống kê</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Thống kê chung toàn trường theo Lĩnh vực, Loại công trình, Đơn vị.</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Thống kê riêng biệt chuyên sâu: Nhóm Bài báo (năm, chỉ mục, tạp chí) và Nhóm Đề tài (cấp đề tài, kinh phí, tỷ lệ nghiệm thu).</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Nâng cấp dashboard.html với 2 widget thống kê chuyên biệt, cập nhật KPI row 7 trạng thái, xử lý tương thích truy vấn SQL Server GROUP BY.</w:t>
            </w:r>
          </w:p>
        </w:tc>
      </w:tr>
      <w:tr>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Nghiệp vụ 5 &amp; 6: Tích hợp AI / Học máy</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Đầu vào AI trích xuất chung 4 trường văn bản.</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Xác định rõ nguồn văn bản cho AI: Tiêu đề + Tóm tắt + Từ khóa (Bài báo) hoặc Tên đề tài + Mục tiêu + Nội dung (Đề tài).</w:t>
            </w:r>
          </w:p>
        </w:tc>
        <w:tc>
          <w:tcPr>
            <w:tcW w:type="dxa" w:w="2412"/>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Tích hợp thuật toán tiền xử lý tiếng Việt PyVi, chạy song song PhoBERT và TF-IDF + SVM, giữ nguyên cơ chế Feedback loop và cảnh báo NetworkX.</w:t>
            </w:r>
          </w:p>
        </w:tc>
      </w:tr>
    </w:tbl>
    <w:p>
      <w:pPr>
        <w:pStyle w:val="Heading1"/>
      </w:pPr>
      <w:r>
        <w:t>CHƯƠNG 3: CHI TIẾT CÁC ĐIỀU CHỈNH KỸ THUẬT ĐÃ TRIỂN KHAI</w:t>
      </w:r>
    </w:p>
    <w:p>
      <w:r>
        <w:rPr>
          <w:b/>
        </w:rPr>
        <w:t>3.1. Nâng cấp Cơ sở dữ liệu Microsoft SQL Server (SSMS)</w:t>
        <w:br/>
      </w:r>
      <w:r>
        <w:t xml:space="preserve">Hệ thống đã thực thi kịch bản migration trực tiếp trên CSDL </w:t>
      </w:r>
      <w:r>
        <w:rPr>
          <w:b/>
        </w:rPr>
        <w:t>KHCN_AI_System</w:t>
      </w:r>
      <w:r>
        <w:t xml:space="preserve"> trên Microsoft SQL Server 2025:</w:t>
      </w:r>
    </w:p>
    <w:p>
      <w:pPr>
        <w:pStyle w:val="ListBullet"/>
      </w:pPr>
      <w:r>
        <w:t xml:space="preserve">Gỡ bỏ ràng buộc CHECK cũ và thiết lập lại: </w:t>
      </w:r>
      <w:r>
        <w:rPr>
          <w:i/>
        </w:rPr>
        <w:t>CK_HoSoKHCN_trangThai CHECK (trangThai IN (N'Chờ xét duyệt', N'Đang xét duyệt', N'Đã duyệt', N'Từ chối', N'Yêu cầu bổ sung'))</w:t>
      </w:r>
    </w:p>
    <w:p>
      <w:pPr>
        <w:pStyle w:val="ListBullet"/>
      </w:pPr>
      <w:r>
        <w:t xml:space="preserve">Bổ sung 12 cột mới: </w:t>
      </w:r>
      <w:r>
        <w:t>doi, tapSo, trangBaiBao, chiMucTapChi (nhóm Bài báo); maDeTai, capDeTai, chuNhiemDeTai, thanhVienThamGia, thoiGianThucHien, kinhPhi, sanPhamDuKien, ketQuaNghiemThu (nhóm Đề tài).</w:t>
      </w:r>
    </w:p>
    <w:p>
      <w:pPr>
        <w:pStyle w:val="ListBullet"/>
      </w:pPr>
      <w:r>
        <w:t xml:space="preserve">Đồng bộ dữ liệu mẫu: </w:t>
      </w:r>
      <w:r>
        <w:t>Đã cập nhật đầy đủ mã DOI, tập số, chỉ mục cho các hồ sơ bài báo (HS-0001, HS-0002, HS-0003, HS-0004, HS-0006) và mã đề tài, kinh phí, nghiệm thu cho các đề tài (HS-0007, HS-0008, HS-0009). Hồ sơ HS-0005 được gán trạng thái mẫu 'Yêu cầu bổ sung'.</w:t>
      </w:r>
    </w:p>
    <w:p>
      <w:r>
        <w:rPr>
          <w:b/>
        </w:rPr>
        <w:t>3.2. Cải tiến Biểu mẫu Khai báo Hồ sơ Động (hoso_form.html)</w:t>
        <w:br/>
      </w:r>
      <w:r>
        <w:t>Biểu mẫu nộp mới và chỉnh sửa hồ sơ được trang bị bộ chuyển mạch thông minh (Dynamic Tabs/Form):</w:t>
      </w:r>
    </w:p>
    <w:p>
      <w:pPr>
        <w:pStyle w:val="ListBullet"/>
      </w:pPr>
      <w:r>
        <w:rPr>
          <w:b/>
        </w:rPr>
        <w:t xml:space="preserve">Khi người dùng chọn Bài báo: </w:t>
      </w:r>
      <w:r>
        <w:t>Hệ thống hiển thị vùng nhập chuyên dụng gồm Tạp chí công bố (đối chiếu danh mục hợp lệ), mã DOI, Tập (Volume)/Số (Issue), Trang bài báo và Cơ sở dữ liệu chỉ mục (Scopus, WoS, HĐGSNN).</w:t>
      </w:r>
    </w:p>
    <w:p>
      <w:pPr>
        <w:pStyle w:val="ListBullet"/>
      </w:pPr>
      <w:r>
        <w:rPr>
          <w:b/>
        </w:rPr>
        <w:t xml:space="preserve">Khi người dùng chọn Đề tài NCKH: </w:t>
      </w:r>
      <w:r>
        <w:t>Giao diện tự động chuyển nhãn Tiêu đề thành 'Tên đề tài NCKH', nhãn Tóm tắt thành 'Mục tiêu &amp; Nội dung nghiên cứu', đồng thời hiển thị các ô nhập: Mã đề tài, Cấp quản lý, Chủ nhiệm, Thành viên tham gia, Thời gian, Kinh phí (VNĐ), Sản phẩm dự kiến và Kết quả nghiệm thu.</w:t>
      </w:r>
    </w:p>
    <w:p>
      <w:pPr>
        <w:pStyle w:val="ListBullet"/>
      </w:pPr>
      <w:r>
        <w:rPr>
          <w:b/>
        </w:rPr>
        <w:t xml:space="preserve">Tính năng Live AI Preview: </w:t>
      </w:r>
      <w:r>
        <w:t>Người dùng có thể bấm nút 'Phân tích &amp; Gợi ý Nhãn AI ngay' bất kỳ lúc nào để kích hoạt mô hình PhoBERT tiền xử lý tiếng Việt và gợi ý lĩnh vực chuyên ngành với độ tin cậy tức thì trước khi nộp.</w:t>
      </w:r>
    </w:p>
    <w:p>
      <w:r>
        <w:rPr>
          <w:b/>
        </w:rPr>
        <w:t>3.3. Quy trình 5 Bước Kiểm tra Tính Hợp lệ &amp; Thẩm định (hoso_detail.html &amp; app.py)</w:t>
        <w:br/>
      </w:r>
      <w:r>
        <w:t>Quy trình thẩm định kiểm tra tính hợp lệ công trình KH&amp;CN đã hoàn thành/công bố được chuẩn hóa trọn vẹn theo 5 bước nghiệp vụ của tài liệu Revision:</w:t>
      </w:r>
    </w:p>
    <w:p>
      <w:pPr>
        <w:pStyle w:val="ListBullet"/>
      </w:pPr>
      <w:r>
        <w:rPr>
          <w:b/>
        </w:rPr>
        <w:t xml:space="preserve">Bước 1: Tiếp nhận &amp; Tự động chuyển trạng thái (Bước 1c): </w:t>
      </w:r>
      <w:r>
        <w:t>Hàng đợi xét duyệt được tự động sắp xếp ưu tiên theo Điểm rủi ro AI (Risk score giảm dần). Khi Cán bộ xét duyệt (TS. Lê Thanh Phong) hoặc Admin mở xem chi tiết một hồ sơ đang ở trạng thái 'Chờ xét duyệt', hệ thống tự động chuyển trạng thái sang 'Đang xét duyệt' và ghi nhận cán bộ phụ trách vào LichSuXetDuyet để tránh trùng lặp xử lý giữa các cán bộ.</w:t>
      </w:r>
    </w:p>
    <w:p>
      <w:pPr>
        <w:pStyle w:val="ListBullet"/>
      </w:pPr>
      <w:r>
        <w:rPr>
          <w:b/>
        </w:rPr>
        <w:t xml:space="preserve">Bước 2: Thẩm định &amp; Nhập ý kiến đánh giá: </w:t>
      </w:r>
      <w:r>
        <w:t>Cán bộ đối chiếu minh chứng thực tế với gợi ý từ Mô-đun AI PhoBERT &amp; TF-IDF+SVM (Khung 1), kiểm tra các dấu hiệu cảnh báo tạp chí rác hoặc trùng lặp từ Đồ thị NetworkX &amp; Isolation Forest (Khung 2), và nhập ý kiến nhận xét chuyên môn.</w:t>
      </w:r>
    </w:p>
    <w:p>
      <w:pPr>
        <w:pStyle w:val="ListBullet"/>
      </w:pPr>
      <w:r>
        <w:rPr>
          <w:b/>
        </w:rPr>
        <w:t xml:space="preserve">Bước 3: Ra quyết định xét duyệt qua 3 nhánh: </w:t>
      </w:r>
      <w:r>
        <w:t>Cán bộ chọn: (1) 'Đã duyệt' - Công nhận công trình hợp lệ; (2) 'Từ chối' - Bắt buộc nhập chi tiết lý do từ chối (tối thiểu 5 ký tự); (3) 'Yêu cầu bổ sung' - Bắt buộc ghi rõ nội dung cần chỉnh sửa/minh chứng cần bổ sung.</w:t>
      </w:r>
    </w:p>
    <w:p>
      <w:pPr>
        <w:pStyle w:val="ListBullet"/>
      </w:pPr>
      <w:r>
        <w:rPr>
          <w:b/>
        </w:rPr>
        <w:t xml:space="preserve">Bước 4: Ghi nhận Lịch sử xét duyệt bất biến: </w:t>
      </w:r>
      <w:r>
        <w:t>Mọi lần chuyển đổi trạng thái đều được tự động lưu vết vào bảng LichSuXetDuyet (thời gian, tài khoản thực hiện, trạng thái cũ/mới, ý kiến thẩm định). Bảng này được thiết kế bất biến (Read-only), không cho phép sửa xóa để phục vụ công tác thanh tra.</w:t>
      </w:r>
    </w:p>
    <w:p>
      <w:pPr>
        <w:pStyle w:val="ListBullet"/>
      </w:pPr>
      <w:r>
        <w:rPr>
          <w:b/>
        </w:rPr>
        <w:t xml:space="preserve">Bước 5: Phản hồi thông báo &amp; Vòng lặp nộp lại (Resubmission loop): </w:t>
      </w:r>
      <w:r>
        <w:t>Tác giả (TS. Nguyễn Thành Tài) khi đăng nhập sẽ thấy huy hiệu (badge) và thanh thông báo (banner) màu vàng nổi bật báo có hồ sơ cần bổ sung. Tác giả mở hồ sơ, chỉnh sửa thông tin/minh chứng và bấm 'Lưu thay đổi'. Khi lưu, hệ thống tự động chuyển trạng thái từ 'Yêu cầu bổ sung' về lại 'Chờ xét duyệt' kèm nhật ký để Cán bộ tái thẩm định.</w:t>
      </w:r>
    </w:p>
    <w:p>
      <w:r>
        <w:rPr>
          <w:b/>
        </w:rPr>
        <w:t>3.4. Nâng cấp Thống kê Dashboard &amp; Phân hệ Danh mục</w:t>
        <w:br/>
      </w:r>
      <w:r>
        <w:t>Dashboard được trang bị thẻ KPI thứ 7 'Yêu cầu bổ sung' màu vàng trực quan, cùng 2 widget báo cáo chuyên biệt cho nhóm Bài báo khoa học (theo năm công bố, cơ sở dữ liệu chỉ mục) và nhóm Đề tài NCKH (theo cấp quản lý, tổng kinh phí và kết quả nghiệm thu). Trang danh mục catalogs.html cũng được mở rộng hiển thị đầy đủ các quy chuẩn mới.</w:t>
      </w:r>
    </w:p>
    <w:p>
      <w:pPr>
        <w:pStyle w:val="Heading1"/>
      </w:pPr>
      <w:r>
        <w:t>CHƯƠNG 4: KẾT QUẢ KIỂM THỬ TỰ ĐỘNG &amp; ĐÁNH GIÁ THỰC TẾ</w:t>
      </w:r>
    </w:p>
    <w:p>
      <w:r>
        <w:t>Kịch bản kiểm thử tự động toàn diện scripts/verify_revision_features.py đã được thực thi trực tiếp trên hệ thống kết nối cơ sở dữ liệu thật Microsoft SQL Server SSMS với kết quả như sau:</w:t>
      </w:r>
    </w:p>
    <w:tbl>
      <w:tblPr>
        <w:tblW w:type="auto" w:w="0"/>
        <w:jc w:val="center"/>
        <w:tblLook w:firstColumn="1" w:firstRow="1" w:lastColumn="0" w:lastRow="0" w:noHBand="0" w:noVBand="1" w:val="04A0"/>
      </w:tblPr>
      <w:tblGrid>
        <w:gridCol w:w="3216"/>
        <w:gridCol w:w="3216"/>
        <w:gridCol w:w="3216"/>
      </w:tblGrid>
      <w:tr>
        <w:tc>
          <w:tcPr>
            <w:tcW w:type="dxa" w:w="3216"/>
            <w:shd w:fill="1A365D"/>
            <w:tcMar>
              <w:top w:w="120" w:type="dxa"/>
              <w:bottom w:w="120" w:type="dxa"/>
              <w:left w:w="150" w:type="dxa"/>
              <w:right w:w="150" w:type="dxa"/>
            </w:tcMar>
            <w:vAlign w:val="center"/>
          </w:tcPr>
          <w:p>
            <w:pPr>
              <w:spacing w:line="288" w:lineRule="auto" w:after="40" w:before="40"/>
              <w:jc w:val="center"/>
            </w:pPr>
            <w:r>
              <w:rPr>
                <w:rFonts w:ascii="Times New Roman" w:hAnsi="Times New Roman"/>
                <w:b/>
                <w:color w:val="FFFFFF"/>
                <w:sz w:val="20"/>
              </w:rPr>
              <w:t>Module kiểm thử</w:t>
            </w:r>
          </w:p>
        </w:tc>
        <w:tc>
          <w:tcPr>
            <w:tcW w:type="dxa" w:w="3216"/>
            <w:shd w:fill="1A365D"/>
            <w:tcMar>
              <w:top w:w="120" w:type="dxa"/>
              <w:bottom w:w="120" w:type="dxa"/>
              <w:left w:w="150" w:type="dxa"/>
              <w:right w:w="150" w:type="dxa"/>
            </w:tcMar>
            <w:vAlign w:val="center"/>
          </w:tcPr>
          <w:p>
            <w:pPr>
              <w:spacing w:line="288" w:lineRule="auto" w:after="40" w:before="40"/>
              <w:jc w:val="center"/>
            </w:pPr>
            <w:r>
              <w:rPr>
                <w:rFonts w:ascii="Times New Roman" w:hAnsi="Times New Roman"/>
                <w:b/>
                <w:color w:val="FFFFFF"/>
                <w:sz w:val="20"/>
              </w:rPr>
              <w:t>Nội dung xác minh</w:t>
            </w:r>
          </w:p>
        </w:tc>
        <w:tc>
          <w:tcPr>
            <w:tcW w:type="dxa" w:w="3216"/>
            <w:shd w:fill="1A365D"/>
            <w:tcMar>
              <w:top w:w="120" w:type="dxa"/>
              <w:bottom w:w="120" w:type="dxa"/>
              <w:left w:w="150" w:type="dxa"/>
              <w:right w:w="150" w:type="dxa"/>
            </w:tcMar>
            <w:vAlign w:val="center"/>
          </w:tcPr>
          <w:p>
            <w:pPr>
              <w:spacing w:line="288" w:lineRule="auto" w:after="40" w:before="40"/>
              <w:jc w:val="center"/>
            </w:pPr>
            <w:r>
              <w:rPr>
                <w:rFonts w:ascii="Times New Roman" w:hAnsi="Times New Roman"/>
                <w:b/>
                <w:color w:val="FFFFFF"/>
                <w:sz w:val="20"/>
              </w:rPr>
              <w:t>Kết quả thực tế</w:t>
            </w:r>
          </w:p>
        </w:tc>
      </w:tr>
      <w:tr>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1. Dashboard &amp; Thống kê</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Hiển thị thẻ KPI 'Yêu cầu bổ sung' và 2 widget thống kê Bài báo, Đề tài.</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color w:val="2E8540"/>
                <w:sz w:val="20"/>
              </w:rPr>
              <w:t>ĐẠT (100% - Phản hồi 200 OK)</w:t>
            </w:r>
          </w:p>
        </w:tc>
      </w:tr>
      <w:tr>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2. Danh sách hồ sơ &amp; Tabs</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Bộ lọc chuyển đổi giữa 'Tất cả', 'Bài báo KH', 'Đề tài NCKH'.</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color w:val="2E8540"/>
                <w:sz w:val="20"/>
              </w:rPr>
              <w:t>ĐẠT (100% - Lọc chính xác)</w:t>
            </w:r>
          </w:p>
        </w:tc>
      </w:tr>
      <w:tr>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3. Chi tiết hồ sơ</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Hiển thị metadata DOI, tập số (HS-0001) và mã đề tài, kinh phí (HS-0007).</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color w:val="2E8540"/>
                <w:sz w:val="20"/>
              </w:rPr>
              <w:t>ĐẠT (100% - Dữ liệu khớp chuẩn)</w:t>
            </w:r>
          </w:p>
        </w:tc>
      </w:tr>
      <w:tr>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4. Biểu mẫu nộp mới động</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Toggle động giữa nhóm bài báo và đề tài; kích hoạt gợi ý PhoBERT.</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color w:val="2E8540"/>
                <w:sz w:val="20"/>
              </w:rPr>
              <w:t>ĐẠT (100% - Chuyển đổi mượt mà)</w:t>
            </w:r>
          </w:p>
        </w:tc>
      </w:tr>
      <w:tr>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5. Danh mục chuẩn hóa</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Hiển thị quy chuẩn Cấp đề tài, Chỉ mục học thuật, Nghiệm thu.</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color w:val="2E8540"/>
                <w:sz w:val="20"/>
              </w:rPr>
              <w:t>ĐẠT (100% - Đồng bộ dữ liệu)</w:t>
            </w:r>
          </w:p>
        </w:tc>
      </w:tr>
      <w:tr>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6. Quy trình &amp; Luồng 5 bước</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sz w:val="20"/>
              </w:rPr>
              <w:t>Bước 1c tự động sang Đang xét duyệt; Quyết định Yêu cầu bổ sung; Vòng lặp nộp lại của Tác giả tự chuyển về Chờ xét duyệt.</w:t>
            </w:r>
          </w:p>
        </w:tc>
        <w:tc>
          <w:tcPr>
            <w:tcW w:type="dxa" w:w="3216"/>
            <w:shd w:fill="FFFFFF"/>
            <w:tcMar>
              <w:top w:w="120" w:type="dxa"/>
              <w:bottom w:w="120" w:type="dxa"/>
              <w:left w:w="150" w:type="dxa"/>
              <w:right w:w="150" w:type="dxa"/>
            </w:tcMar>
            <w:vAlign w:val="center"/>
          </w:tcPr>
          <w:p>
            <w:pPr>
              <w:spacing w:line="288" w:lineRule="auto" w:after="40" w:before="40"/>
              <w:jc w:val="left"/>
            </w:pPr>
            <w:r>
              <w:rPr>
                <w:rFonts w:ascii="Times New Roman" w:hAnsi="Times New Roman"/>
                <w:b w:val="0"/>
                <w:color w:val="2E8540"/>
                <w:sz w:val="20"/>
              </w:rPr>
              <w:t>ĐẠT (100% - Khép kín quy trình)</w:t>
            </w:r>
          </w:p>
        </w:tc>
      </w:tr>
    </w:tbl>
    <w:p>
      <w:pPr>
        <w:spacing w:after="240"/>
      </w:pPr>
    </w:p>
    <w:p>
      <w:pPr>
        <w:pStyle w:val="Heading1"/>
      </w:pPr>
      <w:r>
        <w:t>CHƯƠNG 5: KẾT LUẬN &amp; HƯỚNG DẪN VẬN HÀNH</w:t>
      </w:r>
    </w:p>
    <w:p>
      <w:r>
        <w:t xml:space="preserve">Việc điều chỉnh hệ thống theo tài liệu </w:t>
      </w:r>
      <w:r>
        <w:rPr>
          <w:b/>
        </w:rPr>
        <w:t>Mô tả nghiệp vụ rivision.docx</w:t>
      </w:r>
      <w:r>
        <w:t xml:space="preserve"> đã đưa đề tài Khóa luận Tốt nghiệp 2026 đạt mức độ hoàn thiện xuất sắc. Hệ thống không chỉ đáp ứng trọn vẹn yêu cầu học thuật về Trí tuệ Nhân tạo (PhoBERT, SVM, Isolation Forest, NetworkX) mà còn giải quyết triệt để bài toán nghiệp vụ thực tiễn trong công tác kiểm tra tính hợp lệ và quản lý khoa học công nghệ tại các trường đại học.</w:t>
      </w:r>
    </w:p>
    <w:p>
      <w:r>
        <w:rPr>
          <w:b/>
        </w:rPr>
        <w:t>Hướng dẫn vận hành nhanh cho người dùng:</w:t>
        <w:br/>
      </w:r>
    </w:p>
    <w:p>
      <w:pPr>
        <w:pStyle w:val="ListBullet"/>
      </w:pPr>
      <w:r>
        <w:rPr>
          <w:b/>
        </w:rPr>
        <w:t xml:space="preserve">Để nộp hồ sơ bài báo: </w:t>
      </w:r>
      <w:r>
        <w:t>Truy cập menu 'Khai báo Hồ sơ mới' -&gt; Chọn nhóm 'Bài Báo Khoa Học' -&gt; Nhập DOI, Tập/Số, Số trang, Chỉ mục và tải tệp minh chứng.</w:t>
      </w:r>
    </w:p>
    <w:p>
      <w:pPr>
        <w:pStyle w:val="ListBullet"/>
      </w:pPr>
      <w:r>
        <w:rPr>
          <w:b/>
        </w:rPr>
        <w:t xml:space="preserve">Để nộp hồ sơ đề tài NCKH: </w:t>
      </w:r>
      <w:r>
        <w:t>Truy cập menu 'Khai báo Hồ sơ mới' -&gt; Chọn nhóm 'Đề Tài NCKH' -&gt; Nhập Mã đề tài, Cấp quản lý, Kinh phí và Sản phẩm nghiên cứu cam kết.</w:t>
      </w:r>
    </w:p>
    <w:p>
      <w:pPr>
        <w:pStyle w:val="ListBullet"/>
      </w:pPr>
      <w:r>
        <w:rPr>
          <w:b/>
        </w:rPr>
        <w:t xml:space="preserve">Để thẩm định &amp; yêu cầu bổ sung: </w:t>
      </w:r>
      <w:r>
        <w:t>Cán bộ chọn hồ sơ -&gt; Tại Khung 3 chọn quyết định 'Yêu cầu chỉnh sửa / bổ sung' kèm ghi chú chi tiết -&gt; Tác giả đăng nhập sẽ được mở lại quyền sửa để cập nhật minh chứng.</w:t>
      </w:r>
    </w:p>
    <w:p>
      <w:pPr>
        <w:spacing w:after="400"/>
      </w:pPr>
    </w:p>
    <w:tbl>
      <w:tblPr>
        <w:tblW w:type="auto" w:w="0"/>
        <w:jc w:val="center"/>
        <w:tblLook w:firstColumn="1" w:firstRow="1" w:lastColumn="0" w:lastRow="0" w:noHBand="0" w:noVBand="1" w:val="04A0"/>
      </w:tblPr>
      <w:tblGrid>
        <w:gridCol w:w="3216"/>
        <w:gridCol w:w="3216"/>
        <w:gridCol w:w="3216"/>
      </w:tblGrid>
      <w:tr>
        <w:tc>
          <w:tcPr>
            <w:tcW w:type="dxa" w:w="3216"/>
            <w:shd w:fill="FFFFFF"/>
            <w:tcMar>
              <w:top w:w="120" w:type="dxa"/>
              <w:bottom w:w="120" w:type="dxa"/>
              <w:left w:w="150" w:type="dxa"/>
              <w:right w:w="150" w:type="dxa"/>
            </w:tcMar>
            <w:vAlign w:val="center"/>
          </w:tcPr>
          <w:p>
            <w:pPr>
              <w:spacing w:line="288" w:lineRule="auto" w:after="40" w:before="40"/>
              <w:jc w:val="center"/>
            </w:pPr>
            <w:r>
              <w:rPr>
                <w:rFonts w:ascii="Times New Roman" w:hAnsi="Times New Roman"/>
                <w:b w:val="0"/>
                <w:sz w:val="22"/>
              </w:rPr>
              <w:t>TÁC GIẢ THỰC HIỆN</w:t>
              <w:br/>
              <w:t>Giảng viên nghiên cứu</w:t>
              <w:br/>
              <w:br/>
              <w:br/>
              <w:br/>
              <w:br/>
            </w:r>
            <w:r>
              <w:rPr>
                <w:rFonts w:ascii="Times New Roman" w:hAnsi="Times New Roman"/>
                <w:b w:val="0"/>
                <w:sz w:val="22"/>
              </w:rPr>
              <w:t>TS. Nguyễn Thành Tài</w:t>
            </w:r>
          </w:p>
        </w:tc>
        <w:tc>
          <w:tcPr>
            <w:tcW w:type="dxa" w:w="3216"/>
            <w:shd w:fill="FFFFFF"/>
            <w:tcMar>
              <w:top w:w="120" w:type="dxa"/>
              <w:bottom w:w="120" w:type="dxa"/>
              <w:left w:w="150" w:type="dxa"/>
              <w:right w:w="150" w:type="dxa"/>
            </w:tcMar>
            <w:vAlign w:val="center"/>
          </w:tcPr>
          <w:p>
            <w:pPr>
              <w:spacing w:line="288" w:lineRule="auto" w:after="40" w:before="40"/>
              <w:jc w:val="center"/>
            </w:pPr>
            <w:r>
              <w:rPr>
                <w:rFonts w:ascii="Times New Roman" w:hAnsi="Times New Roman"/>
                <w:b w:val="0"/>
                <w:sz w:val="22"/>
              </w:rPr>
              <w:t>CÁN BỘ THẨM ĐỊNH</w:t>
              <w:br/>
              <w:t>Phòng Quản lý KH&amp;CN</w:t>
              <w:br/>
              <w:br/>
              <w:br/>
              <w:br/>
              <w:br/>
            </w:r>
            <w:r>
              <w:rPr>
                <w:rFonts w:ascii="Times New Roman" w:hAnsi="Times New Roman"/>
                <w:b w:val="0"/>
                <w:sz w:val="22"/>
              </w:rPr>
              <w:t>TS. Lê Thanh Phong</w:t>
            </w:r>
          </w:p>
        </w:tc>
        <w:tc>
          <w:tcPr>
            <w:tcW w:type="dxa" w:w="3216"/>
            <w:shd w:fill="FFFFFF"/>
            <w:tcMar>
              <w:top w:w="120" w:type="dxa"/>
              <w:bottom w:w="120" w:type="dxa"/>
              <w:left w:w="150" w:type="dxa"/>
              <w:right w:w="150" w:type="dxa"/>
            </w:tcMar>
            <w:vAlign w:val="center"/>
          </w:tcPr>
          <w:p>
            <w:pPr>
              <w:spacing w:line="288" w:lineRule="auto" w:after="40" w:before="40"/>
              <w:jc w:val="center"/>
            </w:pPr>
            <w:r>
              <w:rPr>
                <w:rFonts w:ascii="Times New Roman" w:hAnsi="Times New Roman"/>
                <w:b w:val="0"/>
                <w:sz w:val="22"/>
              </w:rPr>
              <w:t>QUẢN TRỊ VIÊN HỆ THỐNG</w:t>
              <w:br/>
              <w:t>Ban Giám hiệu</w:t>
              <w:br/>
              <w:br/>
              <w:br/>
              <w:br/>
              <w:br/>
            </w:r>
            <w:r>
              <w:rPr>
                <w:rFonts w:ascii="Times New Roman" w:hAnsi="Times New Roman"/>
                <w:b w:val="0"/>
                <w:sz w:val="22"/>
              </w:rPr>
              <w:t>PGS.TS. Nguyễn Thành Phát</w:t>
            </w:r>
          </w:p>
        </w:tc>
      </w:tr>
    </w:tbl>
    <w:sectPr w:rsidR="00FC693F" w:rsidRPr="0006063C" w:rsidSect="00034616">
      <w:pgSz w:w="12240" w:h="15840"/>
      <w:pgMar w:top="1296" w:right="1152"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