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Admissions Dataset Schema V1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UniLake AI V1.0 · Tài liệu đặc tả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5"/>
      </w:tblGrid>
      <w:tr>
        <w:trPr>
          <w:cantSplit/>
          <w:tblHeader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 (Tuyển sinh)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1.1.0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 chuẩn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unilake-db.dbml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thiết kế DB nguồn của team (dbdiagram.io)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Phạm vi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 proposal: Applicant, Admission, Program, Major, Admission Method, Enrollment, Admission Year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Dùng cho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Ingestion (W3), lớp Bronze → Silver → Gold, NLQ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Các file đi kèm: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Vai trò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unilake-db.dbml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nguồn toàn hệ thống. Schema Admissions bám đúng tên bảng, tên cột, kiểu, PK, FK ở đây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admissions_v1.schema.json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máy đọc: kiểu, null, unique, enum, pattern, FK, luật DQ. Ingestion dùng để validate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admissions_v1.sql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PostgreSQL cho 7 bảng Admissions, thêm CHECK từ note trong DBML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data/samples/admissions/*.csv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Dữ liệu mẫu 7 bảng Admissions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data/samples/hr/department.csv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vị tổ chức mà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tham chiếu, thuộc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HR Dataset V1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data/samples/training/student.csv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viên tạo từ enrollment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bảng thuộc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Academic Dataset V1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data/synthetic/generate_admissions.py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lại toàn bộ dữ liệu mẫu (seed cố định)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backend/tests/test_dataset_schemas.py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chung cho mọi dataset: JSON khớp DBML (tên, kiểu, null), CSV khớp JSON, PK/unique, FK, DDL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backend/tests/test_admissions_dataset.py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luật nghiệp vụ ADM-DQ-04..12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Khi DBML đổi, sửa JSON, SQL, script sinh dữ liệu và tài liệu này trong cùng một PR. Test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test_schema_matches_source_dbml</w:t>
      </w:r>
      <w:r>
        <w:rPr>
          <w:rFonts w:ascii="Arial" w:cs="Arial" w:eastAsia="Arial" w:hAnsi="Arial"/>
        </w:rPr>
        <w:t xml:space="preserve"> sẽ báo lỗi khi JSON lệch DBML.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Mục lục</w:t>
      </w:r>
    </w:p>
    <w:p>
      <w:pPr>
        <w:spacing w:after="0" w:before="80"/>
        <w:ind w:left="0"/>
      </w:pPr>
      <w:hyperlink w:history="1" w:anchor="h1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1. Quy ước</w:t>
        </w:r>
      </w:hyperlink>
    </w:p>
    <w:p>
      <w:pPr>
        <w:spacing w:after="0" w:before="80"/>
        <w:ind w:left="0"/>
      </w:pPr>
      <w:hyperlink w:history="1" w:anchor="h2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2. Sơ đồ quan hệ</w:t>
        </w:r>
      </w:hyperlink>
    </w:p>
    <w:p>
      <w:pPr>
        <w:spacing w:after="0" w:before="80"/>
        <w:ind w:left="0"/>
      </w:pPr>
      <w:hyperlink w:history="1" w:anchor="h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3. Đặc tả bảng</w:t>
        </w:r>
      </w:hyperlink>
    </w:p>
    <w:p>
      <w:pPr>
        <w:spacing w:after="0" w:before="0"/>
        <w:ind w:left="400"/>
      </w:pPr>
      <w:hyperlink w:history="1" w:anchor="h4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3.1 admission_year – Mùa tuyển sinh</w:t>
        </w:r>
      </w:hyperlink>
    </w:p>
    <w:p>
      <w:pPr>
        <w:spacing w:after="0" w:before="0"/>
        <w:ind w:left="400"/>
      </w:pPr>
      <w:hyperlink w:history="1" w:anchor="h5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3.2 major – Ngành</w:t>
        </w:r>
      </w:hyperlink>
    </w:p>
    <w:p>
      <w:pPr>
        <w:spacing w:after="0" w:before="0"/>
        <w:ind w:left="400"/>
      </w:pPr>
      <w:hyperlink w:history="1" w:anchor="h6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3.3 program – Chương trình đào tạo</w:t>
        </w:r>
      </w:hyperlink>
    </w:p>
    <w:p>
      <w:pPr>
        <w:spacing w:after="0" w:before="0"/>
        <w:ind w:left="400"/>
      </w:pPr>
      <w:hyperlink w:history="1" w:anchor="h7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3.4 admission_method – Phương thức xét tuyển</w:t>
        </w:r>
      </w:hyperlink>
    </w:p>
    <w:p>
      <w:pPr>
        <w:spacing w:after="0" w:before="0"/>
        <w:ind w:left="400"/>
      </w:pPr>
      <w:hyperlink w:history="1" w:anchor="h8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3.5 applicant – Thí sinh</w:t>
        </w:r>
      </w:hyperlink>
    </w:p>
    <w:p>
      <w:pPr>
        <w:spacing w:after="0" w:before="0"/>
        <w:ind w:left="400"/>
      </w:pPr>
      <w:hyperlink w:history="1" w:anchor="h9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3.6 admission – Hồ sơ xét tuyển</w:t>
        </w:r>
      </w:hyperlink>
    </w:p>
    <w:p>
      <w:pPr>
        <w:spacing w:after="0" w:before="0"/>
        <w:ind w:left="400"/>
      </w:pPr>
      <w:hyperlink w:history="1" w:anchor="h10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3.7 enrollment – Nhập học</w:t>
        </w:r>
      </w:hyperlink>
    </w:p>
    <w:p>
      <w:pPr>
        <w:spacing w:after="0" w:before="80"/>
        <w:ind w:left="0"/>
      </w:pPr>
      <w:hyperlink w:history="1" w:anchor="h11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4. Luật chất lượng dữ liệu (DQ)</w:t>
        </w:r>
      </w:hyperlink>
    </w:p>
    <w:p>
      <w:pPr>
        <w:spacing w:after="0" w:before="80"/>
        <w:ind w:left="0"/>
      </w:pPr>
      <w:hyperlink w:history="1" w:anchor="h12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5. Dữ liệu cá nhân (PII)</w:t>
        </w:r>
      </w:hyperlink>
    </w:p>
    <w:p>
      <w:pPr>
        <w:spacing w:after="0" w:before="80"/>
        <w:ind w:left="0"/>
      </w:pPr>
      <w:hyperlink w:history="1" w:anchor="h1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6. Hướng dẫn ingestion (W3)</w:t>
        </w:r>
      </w:hyperlink>
    </w:p>
    <w:p>
      <w:pPr>
        <w:spacing w:after="0" w:before="80"/>
        <w:ind w:left="0"/>
      </w:pPr>
      <w:hyperlink w:history="1" w:anchor="h14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7. Dữ liệu mẫu</w:t>
        </w:r>
      </w:hyperlink>
    </w:p>
    <w:p>
      <w:pPr>
        <w:spacing w:after="0" w:before="80"/>
        <w:ind w:left="0"/>
      </w:pPr>
      <w:hyperlink w:history="1" w:anchor="h15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8. Các điểm trong DBML cần team xem</w:t>
        </w:r>
      </w:hyperlink>
    </w:p>
    <w:p>
      <w:pPr>
        <w:pageBreakBefore/>
      </w:pPr>
    </w:p>
    <w:p>
      <w:pPr>
        <w:pStyle w:val="Heading1"/>
      </w:pPr>
      <w:bookmarkStart w:name="h1" w:id="1"/>
      <w:r>
        <w:rPr>
          <w:rFonts w:ascii="Arial" w:cs="Arial" w:eastAsia="Arial" w:hAnsi="Arial"/>
        </w:rPr>
        <w:t xml:space="preserve">1. Quy ước</w:t>
      </w:r>
      <w:bookmarkEnd w:id="1"/>
    </w:p>
    <w:p>
      <w:r>
        <w:rPr>
          <w:rFonts w:ascii="Arial" w:cs="Arial" w:eastAsia="Arial" w:hAnsi="Arial"/>
        </w:rPr>
        <w:t xml:space="preserve">Theo quy ước đang dùng trong DBML: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4740"/>
        <w:gridCol w:w="3082"/>
      </w:tblGrid>
      <w:tr>
        <w:trPr>
          <w:cantSplit/>
          <w:tblHeader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 ước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 dụ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Bảng, cột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số ít, tiếng Anh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admission_method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application_date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&lt;bảng&gt;_id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tự tăng (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cho bảng danh mục,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bigint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cho bảng giao dịch)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admission_id bigint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Trùng tên PK được tham chiếu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admission.program_id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Mã nghiệp vụ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&lt;bảng&gt;_code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unique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program_code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Giá trị trạng thái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Tiếng Anh, viết hoa chữ đầu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Ngày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YYYY-MM-DD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2025-07-20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mẫu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&lt;bảng&gt;.csv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UTF-8, dấu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,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có header đúng thứ tự cột DBML, ô trống =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NULL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admission.csv</w:t>
            </w:r>
          </w:p>
        </w:tc>
      </w:tr>
      <w:tr>
        <w:trPr>
          <w:cantSplit/>
          <w:tblHeader w:val="false"/>
        </w:trPr>
        <w:tc>
          <w:tcPr>
            <w:tcW w:type="dxa" w:w="181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Cột audit (Silver/Gold)</w:t>
            </w:r>
          </w:p>
        </w:tc>
        <w:tc>
          <w:tcPr>
            <w:tcW w:type="dxa" w:w="474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tiền tố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_</w:t>
            </w:r>
          </w:p>
        </w:tc>
        <w:tc>
          <w:tcPr>
            <w:tcW w:type="dxa" w:w="308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_source_system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_batch_id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_ingested_at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Mỗi file CSV là bản dump của một bảng nguồn, giữ nguyên ID của nguồn.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bookmarkStart w:name="h2" w:id="1"/>
      <w:r>
        <w:rPr>
          <w:rFonts w:ascii="Arial" w:cs="Arial" w:eastAsia="Arial" w:hAnsi="Arial"/>
        </w:rPr>
        <w:t xml:space="preserve">2. Sơ đồ quan hệ</w:t>
      </w:r>
      <w:bookmarkEnd w:id="1"/>
    </w:p>
    <w:p>
      <w:pPr>
        <w:jc w:val="center"/>
      </w:pPr>
      <w:r>
        <w:drawing>
          <wp:inline distT="0" distB="0" distL="0" distR="0">
            <wp:extent cx="5514975" cy="5334000"/>
            <wp:effectExtent t="0" r="0" b="0" l="0"/>
            <wp:docPr id="1" name="schema" descr="Sơ đồ quan hệ Admissions Dataset Schema V1" title="Sơ đồ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Sơ đồ quan hệ giữa các bảng (PK: khóa chính, FK: khóa ngoại, UK: duy nhất)</w:t>
      </w:r>
    </w:p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7"/>
        <w:gridCol w:w="841"/>
        <w:gridCol w:w="4590"/>
      </w:tblGrid>
      <w:tr>
        <w:trPr>
          <w:cantSplit/>
          <w:tblHeader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 hệ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 số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→ major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được để trống.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thuộc HR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→ program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Một ngành có chương trình chuẩn, CLC, thạc sĩ... Thí sinh đăng ký theo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chương trình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 → admission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Một thí sinh nộp nhiều hồ sơ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/ admission_method / admission_year → admission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Duy nhất theo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(applicant_id, program_id, admission_year_id, admission_method_id)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 → enrollment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1 - 0..1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hồ sơ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→ enrollment</w:t>
            </w:r>
          </w:p>
        </w:tc>
        <w:tc>
          <w:tcPr>
            <w:tcW w:type="dxa" w:w="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0..1 - 0..1</w:t>
            </w:r>
          </w:p>
        </w:tc>
        <w:tc>
          <w:tcPr>
            <w:tcW w:type="dxa" w:w="459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chỉ có khi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thuộc Training</w:t>
            </w:r>
          </w:p>
        </w:tc>
      </w:tr>
    </w:tbl>
    <w:p>
      <w:pPr>
        <w:spacing w:after="60"/>
      </w:pPr>
    </w:p>
    <w:p>
      <w:pPr>
        <w:pStyle w:val="Heading1"/>
      </w:pPr>
      <w:bookmarkStart w:name="h3" w:id="1"/>
      <w:r>
        <w:rPr>
          <w:rFonts w:ascii="Arial" w:cs="Arial" w:eastAsia="Arial" w:hAnsi="Arial"/>
        </w:rPr>
        <w:t xml:space="preserve">3. Đặc tả bảng</w:t>
      </w:r>
      <w:bookmarkEnd w:id="1"/>
    </w:p>
    <w:p>
      <w:r>
        <w:rPr>
          <w:rFonts w:ascii="Arial" w:cs="Arial" w:eastAsia="Arial" w:hAnsi="Arial"/>
        </w:rPr>
        <w:t xml:space="preserve">Cột </w:t>
      </w:r>
      <w:r>
        <w:rPr>
          <w:rFonts w:ascii="Arial" w:cs="Arial" w:eastAsia="Arial" w:hAnsi="Arial"/>
          <w:b/>
          <w:bCs/>
        </w:rPr>
        <w:t xml:space="preserve">Null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</w:t>
      </w:r>
      <w:r>
        <w:rPr>
          <w:rFonts w:ascii="Arial" w:cs="Arial" w:eastAsia="Arial" w:hAnsi="Arial"/>
        </w:rPr>
        <w:t xml:space="preserve"> = bắt buộc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not null</w:t>
      </w:r>
      <w:r>
        <w:rPr>
          <w:rFonts w:ascii="Arial" w:cs="Arial" w:eastAsia="Arial" w:hAnsi="Arial"/>
        </w:rPr>
        <w:t xml:space="preserve">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Y</w:t>
      </w:r>
      <w:r>
        <w:rPr>
          <w:rFonts w:ascii="Arial" w:cs="Arial" w:eastAsia="Arial" w:hAnsi="Arial"/>
        </w:rPr>
        <w:t xml:space="preserve"> = được để trống.</w:t>
      </w:r>
    </w:p>
    <w:p>
      <w:pPr>
        <w:pStyle w:val="Heading2"/>
      </w:pPr>
      <w:bookmarkStart w:name="h4" w:id="1"/>
      <w:r>
        <w:rPr>
          <w:rFonts w:ascii="Arial" w:cs="Arial" w:eastAsia="Arial" w:hAnsi="Arial"/>
        </w:rPr>
        <w:t xml:space="preserve">3.1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admission_year</w:t>
      </w:r>
      <w:r>
        <w:rPr>
          <w:rFonts w:ascii="Arial" w:cs="Arial" w:eastAsia="Arial" w:hAnsi="Arial"/>
        </w:rPr>
        <w:t xml:space="preserve"> – Mùa tuyển sinh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1036"/>
        <w:gridCol w:w="621"/>
        <w:gridCol w:w="621"/>
        <w:gridCol w:w="5599"/>
      </w:tblGrid>
      <w:tr>
        <w:trPr>
          <w:cantSplit/>
          <w:tblHeader/>
        </w:trPr>
        <w:tc>
          <w:tcPr>
            <w:tcW w:type="dxa" w:w="17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0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5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admission_year_id</w:t>
            </w:r>
          </w:p>
        </w:tc>
        <w:tc>
          <w:tcPr>
            <w:tcW w:type="dxa" w:w="10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55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year_label</w:t>
            </w:r>
          </w:p>
        </w:tc>
        <w:tc>
          <w:tcPr>
            <w:tcW w:type="dxa" w:w="10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varchar(9)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55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YYYY-YYYY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ví dụ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2025-2026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0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5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Mở mùa tuyển sinh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10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2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5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&gt; 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Bao trọn nhận hồ sơ, xét tuyển, nhập học</w:t>
            </w:r>
          </w:p>
        </w:tc>
      </w:tr>
    </w:tbl>
    <w:p>
      <w:pPr>
        <w:spacing w:after="60"/>
      </w:pPr>
    </w:p>
    <w:p>
      <w:pPr>
        <w:pStyle w:val="Heading2"/>
      </w:pPr>
      <w:bookmarkStart w:name="h5" w:id="1"/>
      <w:r>
        <w:rPr>
          <w:rFonts w:ascii="Arial" w:cs="Arial" w:eastAsia="Arial" w:hAnsi="Arial"/>
        </w:rPr>
        <w:t xml:space="preserve">3.2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</w:t>
      </w:r>
      <w:r>
        <w:rPr>
          <w:rFonts w:ascii="Arial" w:cs="Arial" w:eastAsia="Arial" w:hAnsi="Arial"/>
        </w:rPr>
        <w:t xml:space="preserve"> – Ngành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3"/>
        <w:gridCol w:w="1314"/>
        <w:gridCol w:w="657"/>
        <w:gridCol w:w="1642"/>
        <w:gridCol w:w="4602"/>
      </w:tblGrid>
      <w:tr>
        <w:trPr>
          <w:cantSplit/>
          <w:tblHeader/>
        </w:trPr>
        <w:tc>
          <w:tcPr>
            <w:tcW w:type="dxa" w:w="14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major_id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major_code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Mã ngành Bộ GD&amp;ĐT, 7 chữ số, ví dụ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7480201</w:t>
            </w: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major_name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4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3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department</w:t>
            </w:r>
          </w:p>
        </w:tc>
        <w:tc>
          <w:tcPr>
            <w:tcW w:type="dxa" w:w="4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</w:pPr>
      <w:bookmarkStart w:name="h6" w:id="1"/>
      <w:r>
        <w:rPr>
          <w:rFonts w:ascii="Arial" w:cs="Arial" w:eastAsia="Arial" w:hAnsi="Arial"/>
        </w:rPr>
        <w:t xml:space="preserve">3.3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 – Chương trình đào tạo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5"/>
        <w:gridCol w:w="1291"/>
        <w:gridCol w:w="596"/>
        <w:gridCol w:w="993"/>
        <w:gridCol w:w="4573"/>
      </w:tblGrid>
      <w:tr>
        <w:trPr>
          <w:cantSplit/>
          <w:tblHeader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program_code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&lt;NGÀNH&gt;-&lt;HỆ&gt;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ví dụ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CNTT-CQ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CNTT-CLC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KTXD-KS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program_name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major_id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major</w:t>
            </w: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degree_level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Bachelor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Engineer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Master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duration_years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decimal(3,1)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1 - 6</w:t>
            </w:r>
          </w:p>
        </w:tc>
      </w:tr>
      <w:tr>
        <w:trPr>
          <w:cantSplit/>
          <w:tblHeader w:val="false"/>
        </w:trPr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tuition_fee_per_credit</w:t>
            </w:r>
          </w:p>
        </w:tc>
        <w:tc>
          <w:tcPr>
            <w:tcW w:type="dxa" w:w="129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9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5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VND/tín chỉ,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&gt;= 0</w:t>
            </w:r>
          </w:p>
        </w:tc>
      </w:tr>
    </w:tbl>
    <w:p>
      <w:pPr>
        <w:spacing w:after="60"/>
      </w:pPr>
    </w:p>
    <w:p>
      <w:pPr>
        <w:pStyle w:val="Heading2"/>
      </w:pPr>
      <w:bookmarkStart w:name="h7" w:id="1"/>
      <w:r>
        <w:rPr>
          <w:rFonts w:ascii="Arial" w:cs="Arial" w:eastAsia="Arial" w:hAnsi="Arial"/>
        </w:rPr>
        <w:t xml:space="preserve">3.4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admission_method</w:t>
      </w:r>
      <w:r>
        <w:rPr>
          <w:rFonts w:ascii="Arial" w:cs="Arial" w:eastAsia="Arial" w:hAnsi="Arial"/>
        </w:rPr>
        <w:t xml:space="preserve"> – Phương thức xét tuyển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7"/>
        <w:gridCol w:w="1204"/>
        <w:gridCol w:w="602"/>
        <w:gridCol w:w="602"/>
        <w:gridCol w:w="5323"/>
      </w:tblGrid>
      <w:tr>
        <w:trPr>
          <w:cantSplit/>
          <w:tblHeader/>
        </w:trPr>
        <w:tc>
          <w:tcPr>
            <w:tcW w:type="dxa" w:w="19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3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9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admission_method_id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53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9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method_code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53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THPT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HOCBA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XTT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(đúng 3 phương thức trong note DBML)</w:t>
            </w:r>
          </w:p>
        </w:tc>
      </w:tr>
      <w:tr>
        <w:trPr>
          <w:cantSplit/>
          <w:tblHeader w:val="false"/>
        </w:trPr>
        <w:tc>
          <w:tcPr>
            <w:tcW w:type="dxa" w:w="19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method_name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3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90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6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3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</w:pPr>
      <w:bookmarkStart w:name="h8" w:id="1"/>
      <w:r>
        <w:rPr>
          <w:rFonts w:ascii="Arial" w:cs="Arial" w:eastAsia="Arial" w:hAnsi="Arial"/>
        </w:rPr>
        <w:t xml:space="preserve">3.5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 – Thí sinh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1344"/>
        <w:gridCol w:w="672"/>
        <w:gridCol w:w="672"/>
        <w:gridCol w:w="5157"/>
      </w:tblGrid>
      <w:tr>
        <w:trPr>
          <w:cantSplit/>
          <w:tblHeader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applicant_id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CCCD 12 chữ số.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Tuổi tại mùa tuyển sinh 16 - 30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+ 9 chữ số.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high_school_name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province</w:t>
            </w:r>
          </w:p>
        </w:tc>
        <w:tc>
          <w:tcPr>
            <w:tcW w:type="dxa" w:w="13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6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Tên tỉnh/thành theo danh mục sau sáp nhập 2025</w:t>
            </w:r>
          </w:p>
        </w:tc>
      </w:tr>
    </w:tbl>
    <w:p>
      <w:pPr>
        <w:spacing w:after="60"/>
      </w:pPr>
    </w:p>
    <w:p>
      <w:pPr>
        <w:pStyle w:val="Heading2"/>
      </w:pPr>
      <w:bookmarkStart w:name="h9" w:id="1"/>
      <w:r>
        <w:rPr>
          <w:rFonts w:ascii="Arial" w:cs="Arial" w:eastAsia="Arial" w:hAnsi="Arial"/>
        </w:rPr>
        <w:t xml:space="preserve">3.6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</w:t>
      </w:r>
      <w:r>
        <w:rPr>
          <w:rFonts w:ascii="Arial" w:cs="Arial" w:eastAsia="Arial" w:hAnsi="Arial"/>
        </w:rPr>
        <w:t xml:space="preserve"> – Hồ sơ xét tuyển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7"/>
        <w:gridCol w:w="1192"/>
        <w:gridCol w:w="596"/>
        <w:gridCol w:w="2086"/>
        <w:gridCol w:w="3877"/>
      </w:tblGrid>
      <w:tr>
        <w:trPr>
          <w:cantSplit/>
          <w:tblHeader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applicant_id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applicant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program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admission_method_id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admission_method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admission_year_id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admission_year</w:t>
            </w: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application_date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Trong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[start_date, end_date]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của mùa</w:t>
            </w: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admission_score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Thang 30, đã cộng ưu tiên.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khi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XTT</w:t>
            </w:r>
          </w:p>
        </w:tc>
      </w:tr>
      <w:tr>
        <w:trPr>
          <w:cantSplit/>
          <w:tblHeader w:val="false"/>
        </w:trPr>
        <w:tc>
          <w:tcPr>
            <w:tcW w:type="dxa" w:w="188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admission_status</w:t>
            </w:r>
          </w:p>
        </w:tc>
        <w:tc>
          <w:tcPr>
            <w:tcW w:type="dxa" w:w="119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8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Rejected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Waitlisted</w:t>
            </w:r>
          </w:p>
        </w:tc>
      </w:tr>
    </w:tbl>
    <w:p>
      <w:pPr>
        <w:spacing w:after="60"/>
      </w:pPr>
    </w:p>
    <w:p>
      <w:pPr>
        <w:pStyle w:val="Heading2"/>
      </w:pPr>
      <w:bookmarkStart w:name="h10" w:id="1"/>
      <w:r>
        <w:rPr>
          <w:rFonts w:ascii="Arial" w:cs="Arial" w:eastAsia="Arial" w:hAnsi="Arial"/>
        </w:rPr>
        <w:t xml:space="preserve">3.7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</w:t>
      </w:r>
      <w:r>
        <w:rPr>
          <w:rFonts w:ascii="Arial" w:cs="Arial" w:eastAsia="Arial" w:hAnsi="Arial"/>
        </w:rPr>
        <w:t xml:space="preserve"> – Nhập học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1127"/>
        <w:gridCol w:w="615"/>
        <w:gridCol w:w="1845"/>
        <w:gridCol w:w="4308"/>
      </w:tblGrid>
      <w:tr>
        <w:trPr>
          <w:cantSplit/>
          <w:tblHeader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enrollment_id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admission, UK</w:t>
            </w: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Hồ sơ phải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student, UK</w:t>
            </w: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khi và chỉ khi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Sau ngày nộp hồ sơ, trước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của mùa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enrollment_status</w:t>
            </w:r>
          </w:p>
        </w:tc>
        <w:tc>
          <w:tcPr>
            <w:tcW w:type="dxa" w:w="112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1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8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Deferred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Cancelled</w:t>
            </w:r>
          </w:p>
        </w:tc>
      </w:tr>
    </w:tbl>
    <w:p>
      <w:pPr>
        <w:spacing w:after="60"/>
      </w:pPr>
    </w:p>
    <w:p>
      <w:pPr>
        <w:pStyle w:val="Heading1"/>
      </w:pPr>
      <w:bookmarkStart w:name="h11" w:id="1"/>
      <w:r>
        <w:rPr>
          <w:rFonts w:ascii="Arial" w:cs="Arial" w:eastAsia="Arial" w:hAnsi="Arial"/>
        </w:rPr>
        <w:t xml:space="preserve">4. Luật chất lượng dữ liệu (DQ)</w:t>
      </w:r>
      <w:bookmarkEnd w:id="1"/>
    </w:p>
    <w:p>
      <w:r>
        <w:rPr>
          <w:rFonts w:ascii="Arial" w:cs="Arial" w:eastAsia="Arial" w:hAnsi="Arial"/>
        </w:rPr>
        <w:t xml:space="preserve">Chạy ở bước Bronze → Silver. Dòng vi phạm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error</w:t>
      </w:r>
      <w:r>
        <w:rPr>
          <w:rFonts w:ascii="Arial" w:cs="Arial" w:eastAsia="Arial" w:hAnsi="Arial"/>
        </w:rPr>
        <w:t xml:space="preserve"> bị cách ly (quarantine),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warning</w:t>
      </w:r>
      <w:r>
        <w:rPr>
          <w:rFonts w:ascii="Arial" w:cs="Arial" w:eastAsia="Arial" w:hAnsi="Arial"/>
        </w:rPr>
        <w:t xml:space="preserve"> vẫn nạp và ghi vào Quality Report. Test tự động đã kiểm cả 12 luật trên dữ liệu mẫu.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499"/>
        <w:gridCol w:w="6425"/>
        <w:gridCol w:w="751"/>
      </w:tblGrid>
      <w:tr>
        <w:trPr>
          <w:cantSplit/>
          <w:tblHeader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Luật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Mức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ADM-DQ-01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và cột unique không null, không trùng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ADM-DQ-02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trỏ tới bản ghi có thật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ADM-DQ-03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Đúng kiểu, độ dài, enum, pattern, min/max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ADM-DQ-04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admission_year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 &gt; start_date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ADM-DQ-05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application_date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nằm trong mùa tuyển sinh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ADM-DQ-06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XTT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không có điểm;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THPT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HOCBA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có điểm khi đã có kết quả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ADM-DQ-07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Mỗi thí sinh tối đa một hồ sơ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mỗi mùa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ADM-DQ-08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Tuổi tại mùa tuyển sinh 16 - 30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ADM-DQ-09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Hồ sơ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Accepted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enrollment_date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hợp lệ theo mùa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ADM-DQ-10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⇔ có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student_id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ADM-DQ-11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enrollment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khớp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applicant_id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program_id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admission_year_id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của hồ sơ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ADM-DQ-12</w:t>
            </w:r>
          </w:p>
        </w:tc>
        <w:tc>
          <w:tcPr>
            <w:tcW w:type="dxa" w:w="149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642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 tên, ngày sinh, giới tính khớp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applicant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60"/>
      </w:pPr>
    </w:p>
    <w:p>
      <w:pPr>
        <w:pStyle w:val="Heading1"/>
      </w:pPr>
      <w:bookmarkStart w:name="h12" w:id="1"/>
      <w:r>
        <w:rPr>
          <w:rFonts w:ascii="Arial" w:cs="Arial" w:eastAsia="Arial" w:hAnsi="Arial"/>
        </w:rPr>
        <w:t xml:space="preserve">5. Dữ liệu cá nhân (PII)</w:t>
      </w:r>
      <w:bookmarkEnd w:id="1"/>
    </w:p>
    <w:p>
      <w:r>
        <w:rPr>
          <w:rFonts w:ascii="Consolas" w:cs="Consolas" w:eastAsia="Consolas" w:hAnsi="Consolas"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 có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national_id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full_name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date_of_birth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phone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email</w:t>
      </w:r>
      <w:r>
        <w:rPr>
          <w:rFonts w:ascii="Arial" w:cs="Arial" w:eastAsia="Arial" w:hAnsi="Arial"/>
        </w:rPr>
        <w:t xml:space="preserve"> (khai báo ở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pii_columns</w:t>
      </w:r>
      <w:r>
        <w:rPr>
          <w:rFonts w:ascii="Arial" w:cs="Arial" w:eastAsia="Arial" w:hAnsi="Arial"/>
        </w:rPr>
        <w:t xml:space="preserve"> trong schema JSON).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Bronze:</w:t>
      </w:r>
      <w:r>
        <w:rPr>
          <w:rFonts w:ascii="Arial" w:cs="Arial" w:eastAsia="Arial" w:hAnsi="Arial"/>
        </w:rPr>
        <w:t xml:space="preserve"> giữ nguyên, chỉ Data Administrator đọc được.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Silver: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national_id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phone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email</w:t>
      </w:r>
      <w:r>
        <w:rPr>
          <w:rFonts w:ascii="Arial" w:cs="Arial" w:eastAsia="Arial" w:hAnsi="Arial"/>
        </w:rPr>
        <w:t xml:space="preserve"> băm (SHA-256 có salt) hoặc bỏ;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full_name</w:t>
      </w:r>
      <w:r>
        <w:rPr>
          <w:rFonts w:ascii="Arial" w:cs="Arial" w:eastAsia="Arial" w:hAnsi="Arial"/>
        </w:rPr>
        <w:t xml:space="preserve"> bỏ;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date_of_birth</w:t>
      </w:r>
      <w:r>
        <w:rPr>
          <w:rFonts w:ascii="Arial" w:cs="Arial" w:eastAsia="Arial" w:hAnsi="Arial"/>
        </w:rPr>
        <w:t xml:space="preserve"> rút còn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birth_year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Gold và NLQ:</w:t>
      </w:r>
      <w:r>
        <w:rPr>
          <w:rFonts w:ascii="Arial" w:cs="Arial" w:eastAsia="Arial" w:hAnsi="Arial"/>
        </w:rPr>
        <w:t xml:space="preserve"> không có cột PII. Catalog không publish cột PII, nên LLM không nhìn thấy.</w:t>
      </w:r>
    </w:p>
    <w:p>
      <w:r>
        <w:rPr>
          <w:rFonts w:ascii="Arial" w:cs="Arial" w:eastAsia="Arial" w:hAnsi="Arial"/>
        </w:rPr>
        <w:t xml:space="preserve">Dữ liệu mẫu là giả lập: tên ghép ngẫu nhiên, số CCCD đúng định dạng (mã tỉnh, thế kỷ + giới tính, năm sinh) nhưng 6 số cuối ngẫu nhiên, email dùng tên miền dự phòng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example.com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bookmarkStart w:name="h13" w:id="1"/>
      <w:r>
        <w:rPr>
          <w:rFonts w:ascii="Arial" w:cs="Arial" w:eastAsia="Arial" w:hAnsi="Arial"/>
        </w:rPr>
        <w:t xml:space="preserve">6. Hướng dẫn ingestion (W3)</w:t>
      </w:r>
      <w:bookmarkEnd w:id="1"/>
    </w:p>
    <w:p>
      <w:r>
        <w:rPr>
          <w:rFonts w:ascii="Arial" w:cs="Arial" w:eastAsia="Arial" w:hAnsi="Arial"/>
          <w:b/>
          <w:bCs/>
        </w:rPr>
        <w:t xml:space="preserve">Thứ tự nạp</w:t>
      </w:r>
      <w:r>
        <w:rPr>
          <w:rFonts w:ascii="Arial" w:cs="Arial" w:eastAsia="Arial" w:hAnsi="Arial"/>
        </w:rPr>
        <w:t xml:space="preserve"> (theo FK):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admission_method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admission_year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  <w:b/>
          <w:bCs/>
        </w:rPr>
        <w:t xml:space="preserve">Bronze: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bronze/admissions/&lt;table&gt;/ingest_date=YYYY-MM-DD/&lt;batch_id&gt;.csv</w:t>
      </w:r>
      <w:r>
        <w:rPr>
          <w:rFonts w:ascii="Arial" w:cs="Arial" w:eastAsia="Arial" w:hAnsi="Arial"/>
        </w:rPr>
        <w:t xml:space="preserve">, giữ nguyên file.</w:t>
      </w:r>
    </w:p>
    <w:p>
      <w:r>
        <w:rPr>
          <w:rFonts w:ascii="Arial" w:cs="Arial" w:eastAsia="Arial" w:hAnsi="Arial"/>
          <w:b/>
          <w:bCs/>
        </w:rPr>
        <w:t xml:space="preserve">Bronze → Silver: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Kiểm tra header theo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admissions_v1.schema.json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Ép kiểu, kiểm tra null/enum/pattern/range (DQ-01..03).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Kiểm tra FK theo thứ tự nạp (DQ-02) và luật nghiệp vụ (DQ-04..12).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Xử lý PII theo mục 5, thêm cột audit.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Upsert theo PK nguồn; gửi kết quả DQ và lineage cho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governance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  <w:b/>
          <w:bCs/>
        </w:rPr>
        <w:t xml:space="preserve">Gold (gợi ý):</w:t>
      </w:r>
      <w:r>
        <w:rPr>
          <w:rFonts w:ascii="Arial" w:cs="Arial" w:eastAsia="Arial" w:hAnsi="Arial"/>
        </w:rPr>
        <w:t xml:space="preserve"> số hồ sơ, tỷ lệ trúng tuyển, tỷ lệ nhập học theo chương trình, ngành, khoa, phương thức, mùa, tỉnh. Điểm chuẩn thực tế =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MIN(admission_score)</w:t>
      </w:r>
      <w:r>
        <w:rPr>
          <w:rFonts w:ascii="Arial" w:cs="Arial" w:eastAsia="Arial" w:hAnsi="Arial"/>
        </w:rPr>
        <w:t xml:space="preserve"> của hồ sơ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Accepted</w:t>
      </w:r>
      <w:r>
        <w:rPr>
          <w:rFonts w:ascii="Arial" w:cs="Arial" w:eastAsia="Arial" w:hAnsi="Arial"/>
        </w:rPr>
        <w:t xml:space="preserve"> theo chương trình, phương thức, mùa.</w:t>
      </w:r>
    </w:p>
    <w:p>
      <w:pPr>
        <w:pStyle w:val="Heading1"/>
      </w:pPr>
      <w:bookmarkStart w:name="h14" w:id="1"/>
      <w:r>
        <w:rPr>
          <w:rFonts w:ascii="Arial" w:cs="Arial" w:eastAsia="Arial" w:hAnsi="Arial"/>
        </w:rPr>
        <w:t xml:space="preserve">7. Dữ liệu mẫu</w:t>
      </w:r>
      <w:bookmarkEnd w:id="1"/>
    </w:p>
    <w:p>
      <w:r>
        <w:rPr>
          <w:rFonts w:ascii="Arial" w:cs="Arial" w:eastAsia="Arial" w:hAnsi="Arial"/>
        </w:rPr>
        <w:t xml:space="preserve">Giả lập 3 mùa 2024-2025, 2025-2026, 2026-2027, mỗi mùa 40 thí sinh. Sinh lại bằng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python data/synthetic/generate_admissions.py</w:t>
      </w:r>
      <w:r>
        <w:rPr>
          <w:rFonts w:ascii="Arial" w:cs="Arial" w:eastAsia="Arial" w:hAnsi="Arial"/>
        </w:rPr>
        <w:t xml:space="preserve">, chạy sau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generate_hr.py</w:t>
      </w:r>
      <w:r>
        <w:rPr>
          <w:rFonts w:ascii="Arial" w:cs="Arial" w:eastAsia="Arial" w:hAnsi="Arial"/>
        </w:rPr>
        <w:t xml:space="preserve"> (cùng seed thì ra đúng cùng dữ liệu). Ngành trỏ tới 4 khoa: CNTT, Kinh tế, Ngoại ngữ, Xây dựng.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596"/>
        <w:gridCol w:w="5962"/>
      </w:tblGrid>
      <w:tr>
        <w:trPr>
          <w:cantSplit/>
          <w:tblHeader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Dòng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admissions/major.csv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ngành đại học + 1 ngành thạc sĩ, mã Bộ GD&amp;ĐT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admissions/program.csv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Chương trình chuẩn, CLC, kỹ sư, thạc sĩ (thạc sĩ không có hồ sơ vì không xét THPT/học bạ)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admissions/admission_method.csv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THPT, Học bạ, Xét tuyển thẳng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admissions/admission_year.csv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Mùa từ 01/03 đến 30/09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admissions/applicant.csv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Phần lớn ở Đà Nẵng và miền Trung; một số ô tùy chọn để trống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admissions/admission.csv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 Accepted, 157 Rejected, 9 Waitlisted, 6 Applied (xét bổ sung tháng 9/2026)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training/student.csv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viên tạo từ enrollment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Enrolled</w:t>
            </w:r>
          </w:p>
        </w:tc>
      </w:tr>
      <w:tr>
        <w:trPr>
          <w:cantSplit/>
          <w:tblHeader w:val="false"/>
        </w:trPr>
        <w:tc>
          <w:tcPr>
            <w:tcW w:type="dxa" w:w="308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admissions/enrollment.csv</w:t>
            </w:r>
          </w:p>
        </w:tc>
        <w:tc>
          <w:tcPr>
            <w:tcW w:type="dxa" w:w="5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596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 Enrolled, 4 Deferred, 7 Cancelled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Logic sinh dữ liệu: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Học bạ nộp 15/03 - 15/06, tuyển thẳng 01/04 - 20/06, THPT 16/07 - 28/07, xét bổ sung 05/09 - 20/09. Kết quả công bố 20/08, nhập học 22/08 - 12/09.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Mỗi thí sinh 1 - 3 hồ sơ. Điểm THPT và học bạ tương quan theo cùng "năng lực" của thí sinh; điểm chuẩn riêng theo chương trình, tăng nhẹ theo năm, học bạ cao hơn THPT khoảng 2 điểm.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Đủ điểm ở nhiều hồ sơ thì chỉ hồ sơ đầu tiên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Accepted</w:t>
      </w:r>
      <w:r>
        <w:rPr>
          <w:rFonts w:ascii="Arial" w:cs="Arial" w:eastAsia="Arial" w:hAnsi="Arial"/>
        </w:rPr>
        <w:t xml:space="preserve">, các hồ sơ còn lại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Rejected</w:t>
      </w:r>
      <w:r>
        <w:rPr>
          <w:rFonts w:ascii="Arial" w:cs="Arial" w:eastAsia="Arial" w:hAnsi="Arial"/>
        </w:rPr>
        <w:t xml:space="preserve">. Thiếu dưới 0,5 điểm thì có thể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Waitlisted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Sinh viên khóa 2024, 2025 có một ít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Suspended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Dropped</w:t>
      </w:r>
      <w:r>
        <w:rPr>
          <w:rFonts w:ascii="Arial" w:cs="Arial" w:eastAsia="Arial" w:hAnsi="Arial"/>
        </w:rPr>
        <w:t xml:space="preserve">; khóa 2026 đều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Active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</w:rPr>
        <w:t xml:space="preserve">Chạy kiểm tra: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backend &amp;&amp; pytest tests/test_dataset_schemas.py tests/test_admissions_dataset.py -o addopts=""</w:t>
      </w:r>
    </w:p>
    <w:p/>
    <w:p>
      <w:pPr>
        <w:pStyle w:val="Heading1"/>
      </w:pPr>
      <w:bookmarkStart w:name="h15" w:id="1"/>
      <w:r>
        <w:rPr>
          <w:rFonts w:ascii="Arial" w:cs="Arial" w:eastAsia="Arial" w:hAnsi="Arial"/>
        </w:rPr>
        <w:t xml:space="preserve">8. Các điểm trong DBML cần team xem</w:t>
      </w:r>
      <w:bookmarkEnd w:id="1"/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Thang điểm.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admission_score decimal(5,2)</w:t>
      </w:r>
      <w:r>
        <w:rPr>
          <w:rFonts w:ascii="Arial" w:cs="Arial" w:eastAsia="Arial" w:hAnsi="Arial"/>
        </w:rPr>
        <w:t xml:space="preserve"> không kèm thang điểm. Ổn khi chỉ có THPT và học bạ (thang 30). Nếu thêm ĐGNL (thang 1200) thì cột bị tràn và không so sánh được điểm; khi đó cần thêm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admission_method.max_score</w:t>
      </w:r>
      <w:r>
        <w:rPr>
          <w:rFonts w:ascii="Arial" w:cs="Arial" w:eastAsia="Arial" w:hAnsi="Arial"/>
        </w:rPr>
        <w:t xml:space="preserve"> và đổi kiểu điểm.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Không có thứ tự nguyện vọng, ngày có kết quả.</w:t>
      </w:r>
      <w:r>
        <w:rPr>
          <w:rFonts w:ascii="Arial" w:cs="Arial" w:eastAsia="Arial" w:hAnsi="Arial"/>
        </w:rPr>
        <w:t xml:space="preserve"> Không phân tích được "trúng nguyện vọng mấy" hay thời gian xử lý hồ sơ. Luật DQ-07 thay thế một phần.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Dữ liệu trùng giữa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  <w:b/>
          <w:bCs/>
        </w:rPr>
        <w:t xml:space="preserve"> và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 (họ tên, ngày sinh, giới tính) và hai đường nối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student.applicant_id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enrollment.student_id</w:t>
      </w:r>
      <w:r>
        <w:rPr>
          <w:rFonts w:ascii="Arial" w:cs="Arial" w:eastAsia="Arial" w:hAnsi="Arial"/>
        </w:rPr>
        <w:t xml:space="preserve">) dễ lệch nhau. DQ-11, DQ-12 kiểm tra việc này.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PII</w:t>
      </w:r>
      <w:r>
        <w:rPr>
          <w:rFonts w:ascii="Arial" w:cs="Arial" w:eastAsia="Arial" w:hAnsi="Arial"/>
        </w:rPr>
        <w:t xml:space="preserve"> có ở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applicant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student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: cần thống nhất cách xử lý ở mục 5 cho cả ba domain.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Ngoài Admissions: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kpi_value.kpi_id</w:t>
      </w:r>
      <w:r>
        <w:rPr>
          <w:rFonts w:ascii="Arial" w:cs="Arial" w:eastAsia="Arial" w:hAnsi="Arial"/>
        </w:rPr>
        <w:t xml:space="preserve"> là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bigint</w:t>
      </w:r>
      <w:r>
        <w:rPr>
          <w:rFonts w:ascii="Arial" w:cs="Arial" w:eastAsia="Arial" w:hAnsi="Arial"/>
        </w:rPr>
        <w:t xml:space="preserve"> trong khi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kpi.kpi_id</w:t>
      </w:r>
      <w:r>
        <w:rPr>
          <w:rFonts w:ascii="Arial" w:cs="Arial" w:eastAsia="Arial" w:hAnsi="Arial"/>
        </w:rPr>
        <w:t xml:space="preserve"> là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int</w:t>
      </w:r>
      <w:r>
        <w:rPr>
          <w:rFonts w:ascii="Arial" w:cs="Arial" w:eastAsia="Arial" w:hAnsi="Arial"/>
        </w:rPr>
        <w:t xml:space="preserve">, nên đổi cho cùng kiểu.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ERD cũ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color w:val="1F4E79"/>
        </w:rPr>
        <w:t xml:space="preserve">unilake-erd.mmd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.html</w:t>
      </w:r>
      <w:r>
        <w:rPr>
          <w:rFonts w:ascii="Arial" w:cs="Arial" w:eastAsia="Arial" w:hAnsi="Arial"/>
        </w:rPr>
        <w:t xml:space="preserve"> được vẽ trước khi có DBML và lệch ở cả ba domain (ví dụ ở đó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 chứa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</w:t>
      </w:r>
      <w:r>
        <w:rPr>
          <w:rFonts w:ascii="Arial" w:cs="Arial" w:eastAsia="Arial" w:hAnsi="Arial"/>
        </w:rPr>
        <w:t xml:space="preserve">, còn DBML là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</w:t>
      </w:r>
      <w:r>
        <w:rPr>
          <w:rFonts w:ascii="Arial" w:cs="Arial" w:eastAsia="Arial" w:hAnsi="Arial"/>
        </w:rPr>
        <w:t xml:space="preserve"> có nhiều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program</w:t>
      </w:r>
      <w:r>
        <w:rPr>
          <w:rFonts w:ascii="Arial" w:cs="Arial" w:eastAsia="Arial" w:hAnsi="Arial"/>
        </w:rPr>
        <w:t xml:space="preserve">). Nên vẽ lại từ DBML hoặc bỏ.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Admissions Dataset Schema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Admissions Dataset Schema V1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Admissions Dataset Schema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cade3819bd5fc4baef8313f6b9bdb3fedfc38c6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Admissions Dataset Schema V1</dc:title>
  <dc:creator>UniLake AI team</dc:creator>
  <cp:lastModifiedBy>Un-named</cp:lastModifiedBy>
  <cp:revision>1</cp:revision>
  <dcterms:created xsi:type="dcterms:W3CDTF">2026-09-25T14:21:47.428Z</dcterms:created>
  <dcterms:modified xsi:type="dcterms:W3CDTF">2026-09-25T14:21:47.428Z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