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E6B45"/>
          <w:sz w:val="36"/>
        </w:rPr>
        <w:t>BÀI TẬP THỰC HÀNH: DỰ ÁN KHỞI NGHIỆP SMART-HOME</w:t>
      </w:r>
    </w:p>
    <w:p>
      <w:pPr>
        <w:spacing w:after="200"/>
        <w:jc w:val="center"/>
      </w:pPr>
      <w:r>
        <w:rPr>
          <w:rFonts w:ascii="Calibri" w:hAnsi="Calibri"/>
          <w:i/>
          <w:color w:val="1E293B"/>
          <w:sz w:val="24"/>
        </w:rPr>
        <w:t>Hồ sơ giới thiệu dự án, Đặc tả yêu cầu phần mềm (SRS), Quản lý Excel và Pitch Deck</w:t>
      </w:r>
    </w:p>
    <w:tbl>
      <w:tblPr>
        <w:tblW w:type="auto" w:w="0"/>
        <w:jc w:val="center"/>
        <w:tblLook w:firstColumn="1" w:firstRow="1" w:lastColumn="0" w:lastRow="0" w:noHBand="0" w:noVBand="1" w:val="04A0"/>
      </w:tblPr>
      <w:tblGrid>
        <w:gridCol w:w="9360"/>
      </w:tblGrid>
      <w:tr>
        <w:tc>
          <w:tcPr>
            <w:tcW w:type="dxa" w:w="9360"/>
            <w:shd w:fill="F8FAFC"/>
          </w:tcPr>
          <w:p>
            <w:pPr>
              <w:spacing w:before="40" w:after="40"/>
            </w:pPr>
            <w:r>
              <w:rPr>
                <w:rFonts w:ascii="Calibri" w:hAnsi="Calibri"/>
                <w:b/>
                <w:sz w:val="21"/>
              </w:rPr>
              <w:t xml:space="preserve">Họ và tên sinh viên: </w:t>
            </w:r>
            <w:r>
              <w:rPr>
                <w:rFonts w:ascii="Calibri" w:hAnsi="Calibri"/>
                <w:sz w:val="21"/>
              </w:rPr>
              <w:t>Thi Thành Đạt</w:t>
            </w:r>
          </w:p>
          <w:p>
            <w:pPr>
              <w:spacing w:before="40" w:after="40"/>
            </w:pPr>
            <w:r>
              <w:rPr>
                <w:rFonts w:ascii="Calibri" w:hAnsi="Calibri"/>
                <w:b/>
                <w:sz w:val="21"/>
              </w:rPr>
              <w:t xml:space="preserve">Mã số sinh viên (MSSV): </w:t>
            </w:r>
            <w:r>
              <w:rPr>
                <w:rFonts w:ascii="Calibri" w:hAnsi="Calibri"/>
                <w:sz w:val="21"/>
              </w:rPr>
              <w:t>N26DTCN041</w:t>
            </w:r>
          </w:p>
          <w:p>
            <w:pPr>
              <w:spacing w:before="40" w:after="40"/>
            </w:pPr>
            <w:r>
              <w:rPr>
                <w:rFonts w:ascii="Calibri" w:hAnsi="Calibri"/>
                <w:b/>
                <w:sz w:val="21"/>
              </w:rPr>
              <w:t xml:space="preserve">Lớp: </w:t>
            </w:r>
            <w:r>
              <w:rPr>
                <w:rFonts w:ascii="Calibri" w:hAnsi="Calibri"/>
                <w:sz w:val="21"/>
              </w:rPr>
              <w:t>CNTT2</w:t>
            </w:r>
          </w:p>
          <w:p>
            <w:pPr>
              <w:spacing w:before="40" w:after="40"/>
            </w:pPr>
            <w:r>
              <w:rPr>
                <w:rFonts w:ascii="Calibri" w:hAnsi="Calibri"/>
                <w:b/>
                <w:sz w:val="21"/>
              </w:rPr>
              <w:t xml:space="preserve">Email: </w:t>
            </w:r>
            <w:r>
              <w:rPr>
                <w:rFonts w:ascii="Calibri" w:hAnsi="Calibri"/>
                <w:sz w:val="21"/>
              </w:rPr>
              <w:t>thithanhdat111@gmail.com</w:t>
            </w:r>
          </w:p>
          <w:p>
            <w:pPr>
              <w:spacing w:before="40" w:after="40"/>
            </w:pPr>
            <w:r>
              <w:rPr>
                <w:rFonts w:ascii="Calibri" w:hAnsi="Calibri"/>
                <w:b/>
                <w:sz w:val="21"/>
              </w:rPr>
              <w:t xml:space="preserve">Mã bài nộp: </w:t>
            </w:r>
            <w:r>
              <w:rPr>
                <w:rFonts w:ascii="Calibri" w:hAnsi="Calibri"/>
                <w:sz w:val="21"/>
              </w:rPr>
              <w:t>CNTT2_TinHocVanPhong_Session10_Ex06</w:t>
            </w:r>
          </w:p>
        </w:tc>
      </w:tr>
    </w:tbl>
    <w:p>
      <w:pPr>
        <w:spacing w:after="80"/>
      </w:pPr>
    </w:p>
    <w:p>
      <w:pPr>
        <w:pStyle w:val="Heading1"/>
        <w:keepNext/>
      </w:pPr>
      <w:r>
        <w:rPr>
          <w:rFonts w:ascii="Calibri" w:hAnsi="Calibri"/>
          <w:b/>
          <w:color w:val="1E6B45"/>
          <w:sz w:val="30"/>
        </w:rPr>
        <w:t>PHẦN 1. PHÂN TÍCH BẢNG EXCEL "XẤU" VÀ BẢNG EXCEL "ĐÚNG"</w:t>
      </w:r>
    </w:p>
    <w:p>
      <w:pPr>
        <w:spacing w:line="276" w:lineRule="auto" w:after="120"/>
      </w:pPr>
      <w:r>
        <w:rPr>
          <w:rFonts w:ascii="Calibri" w:hAnsi="Calibri"/>
          <w:color w:val="1E293B"/>
          <w:sz w:val="22"/>
        </w:rPr>
        <w:t>Trong quá trình quản lý danh sách bất động sản của dự án Smart-Home bằng Microsoft Excel, việc thiết kế cấu trúc bảng dữ liệu ngay từ đầu đóng vai trò quyết định đến khả năng tính toán, tra cứu và mở rộng về sau. Dưới góc nhìn của người học tin học ứng dụng, hai khái niệm cơ bản cần nắm vững là:</w:t>
      </w:r>
    </w:p>
    <w:p>
      <w:pPr>
        <w:pStyle w:val="ListBullet"/>
        <w:spacing w:line="276" w:lineRule="auto" w:before="20" w:after="80"/>
      </w:pPr>
      <w:r>
        <w:rPr>
          <w:rFonts w:ascii="Calibri" w:hAnsi="Calibri"/>
          <w:b/>
          <w:color w:val="1E293B"/>
          <w:sz w:val="22"/>
        </w:rPr>
        <w:t xml:space="preserve">Field (Trường dữ liệu / Cột): </w:t>
      </w:r>
      <w:r>
        <w:rPr>
          <w:rFonts w:ascii="Calibri" w:hAnsi="Calibri"/>
          <w:color w:val="1E293B"/>
          <w:sz w:val="22"/>
        </w:rPr>
        <w:t>Là một cột dọc trong bảng, đại diện cho một thuộc tính chung của đối tượng (ví dụ: Mã BĐS, Tên BĐS, Giá bán, Mã MG). Mỗi cột chỉ được chứa đúng một kiểu dữ liệu thống nhất.</w:t>
      </w:r>
    </w:p>
    <w:p>
      <w:pPr>
        <w:pStyle w:val="ListBullet"/>
        <w:spacing w:line="276" w:lineRule="auto" w:before="20" w:after="80"/>
      </w:pPr>
      <w:r>
        <w:rPr>
          <w:rFonts w:ascii="Calibri" w:hAnsi="Calibri"/>
          <w:b/>
          <w:color w:val="1E293B"/>
          <w:sz w:val="22"/>
        </w:rPr>
        <w:t xml:space="preserve">Record (Bản ghi / Hàng): </w:t>
      </w:r>
      <w:r>
        <w:rPr>
          <w:rFonts w:ascii="Calibri" w:hAnsi="Calibri"/>
          <w:color w:val="1E293B"/>
          <w:sz w:val="22"/>
        </w:rPr>
        <w:t>Là một hàng ngang hoàn chỉnh trong bảng, lưu trữ toàn bộ thông tin của một đối tượng cụ thể (ví dụ: toàn bộ thông tin của căn biệt thự SH001 nằm trên cùng một dòng).</w:t>
      </w:r>
    </w:p>
    <w:p>
      <w:pPr>
        <w:pStyle w:val="Heading2"/>
        <w:keepNext/>
      </w:pPr>
      <w:r>
        <w:rPr>
          <w:rFonts w:ascii="Calibri" w:hAnsi="Calibri"/>
          <w:b/>
          <w:color w:val="0F4C81"/>
          <w:sz w:val="26"/>
        </w:rPr>
        <w:t>1.1. Đặc điểm của một bảng Excel "Xấu" (Vi phạm quy tắc vàng)</w:t>
      </w:r>
    </w:p>
    <w:p>
      <w:pPr>
        <w:spacing w:line="276" w:lineRule="auto" w:after="120"/>
      </w:pPr>
      <w:r>
        <w:rPr>
          <w:rFonts w:ascii="Calibri" w:hAnsi="Calibri"/>
          <w:color w:val="1E293B"/>
          <w:sz w:val="22"/>
        </w:rPr>
        <w:t>Một bảng Excel bị xem là "Xấu" khi người tạo chỉ chú trọng trang trí bề ngoài giống như vẽ bảng trên giấy mà làm hỏng cấu trúc dữ liệu bên dưới. Các lỗi phổ biến bao gồm:</w:t>
      </w:r>
    </w:p>
    <w:p>
      <w:pPr>
        <w:pStyle w:val="ListBullet"/>
        <w:spacing w:line="276" w:lineRule="auto" w:before="20" w:after="80"/>
      </w:pPr>
      <w:r>
        <w:rPr>
          <w:rFonts w:ascii="Calibri" w:hAnsi="Calibri"/>
          <w:b/>
          <w:color w:val="1E293B"/>
          <w:sz w:val="22"/>
        </w:rPr>
        <w:t xml:space="preserve">Lạm dụng trộn ô (Merge Cells): </w:t>
      </w:r>
      <w:r>
        <w:rPr>
          <w:rFonts w:ascii="Calibri" w:hAnsi="Calibri"/>
          <w:color w:val="1E293B"/>
          <w:sz w:val="22"/>
        </w:rPr>
        <w:t>Gộp nhiều ô ở tiêu đề nhiều tầng hoặc gộp các ô có cùng loại bất động sản, cùng tên môi giới lại với nhau. Khi dùng Merge Cells, Excel chỉ lưu giá trị ở ô đầu tiên bên trái trên cùng, các ô còn lại bị rỗng. Hậu quả là không thể sắp xếp (Sort), lọc dữ liệu (Filter), hoặc dùng hàm VLOOKUP, SUMIF chính xác.</w:t>
      </w:r>
    </w:p>
    <w:p>
      <w:pPr>
        <w:pStyle w:val="ListBullet"/>
        <w:spacing w:line="276" w:lineRule="auto" w:before="20" w:after="80"/>
      </w:pPr>
      <w:r>
        <w:rPr>
          <w:rFonts w:ascii="Calibri" w:hAnsi="Calibri"/>
          <w:b/>
          <w:color w:val="1E293B"/>
          <w:sz w:val="22"/>
        </w:rPr>
        <w:t xml:space="preserve">Vi phạm nguyên tắc Field/Record: </w:t>
      </w:r>
      <w:r>
        <w:rPr>
          <w:rFonts w:ascii="Calibri" w:hAnsi="Calibri"/>
          <w:color w:val="1E293B"/>
          <w:sz w:val="22"/>
        </w:rPr>
        <w:t>Ghi chung nhiều thông tin vào một ô (ví dụ: vừa ghi tên bất động sản vừa ghi loại hình "Villa Riverside - Biệt thự") hoặc dùng một cột vừa ghi số tiền vừa ghi chữ "15 tỷ đồng". Khi số bị trộn lẫn với chữ, Excel hiểu đó là chuỗi văn bản (Text) nên không thể cộng trừ nhân chia.</w:t>
      </w:r>
    </w:p>
    <w:p>
      <w:pPr>
        <w:pStyle w:val="ListBullet"/>
        <w:spacing w:line="276" w:lineRule="auto" w:before="20" w:after="80"/>
      </w:pPr>
      <w:r>
        <w:rPr>
          <w:rFonts w:ascii="Calibri" w:hAnsi="Calibri"/>
          <w:b/>
          <w:color w:val="1E293B"/>
          <w:sz w:val="22"/>
        </w:rPr>
        <w:t xml:space="preserve">Chèn dòng trống, cột trống ngắt quãng: </w:t>
      </w:r>
      <w:r>
        <w:rPr>
          <w:rFonts w:ascii="Calibri" w:hAnsi="Calibri"/>
          <w:color w:val="1E293B"/>
          <w:sz w:val="22"/>
        </w:rPr>
        <w:t>Chèn các dòng trống hoặc cột trống ở giữa bảng để ngăn cách bằng mắt thường. Điều này làm đứt quãng vùng dữ liệu liên tục, khiến phím tắt chọn nhanh hoặc công cụ lọc tự động bỏ sót các dòng bên dưới.</w:t>
      </w:r>
    </w:p>
    <w:p>
      <w:pPr>
        <w:pStyle w:val="ListBullet"/>
        <w:spacing w:line="276" w:lineRule="auto" w:before="20" w:after="80"/>
      </w:pPr>
      <w:r>
        <w:rPr>
          <w:rFonts w:ascii="Calibri" w:hAnsi="Calibri"/>
          <w:b/>
          <w:color w:val="1E293B"/>
          <w:sz w:val="22"/>
        </w:rPr>
        <w:t xml:space="preserve">Nhập kết quả tính nhẩm thay vì dùng công thức: </w:t>
      </w:r>
      <w:r>
        <w:rPr>
          <w:rFonts w:ascii="Calibri" w:hAnsi="Calibri"/>
          <w:color w:val="1E293B"/>
          <w:sz w:val="22"/>
        </w:rPr>
        <w:t>Tự bấm máy tính tay rồi gõ con số 300,000,000 vào cột Hoa hồng thay vì dùng công thức nhân giữa Giá bán và Tỷ lệ hoa hồng. Khi giá nhà thay đổi hoặc tỷ lệ hoa hồng cập nhật, toàn bộ bảng bị sai lệch.</w:t>
      </w:r>
    </w:p>
    <w:p>
      <w:pPr>
        <w:pStyle w:val="Heading2"/>
        <w:keepNext/>
      </w:pPr>
      <w:r>
        <w:rPr>
          <w:rFonts w:ascii="Calibri" w:hAnsi="Calibri"/>
          <w:b/>
          <w:color w:val="0F4C81"/>
          <w:sz w:val="26"/>
        </w:rPr>
        <w:t>1.2. Bảng đối chiếu giữa bảng Excel "Xấu" và bảng Excel "Đúng"</w:t>
      </w:r>
    </w:p>
    <w:tbl>
      <w:tblPr>
        <w:tblW w:type="auto" w:w="0"/>
        <w:jc w:val="center"/>
        <w:tblLook w:firstColumn="1" w:firstRow="1" w:lastColumn="0" w:lastRow="0" w:noHBand="0" w:noVBand="1" w:val="04A0"/>
      </w:tblPr>
      <w:tblGrid>
        <w:gridCol w:w="3120"/>
        <w:gridCol w:w="3120"/>
        <w:gridCol w:w="3120"/>
      </w:tblGrid>
      <w:tr>
        <w:trPr>
          <w:tblHeader/>
        </w:trPr>
        <w:tc>
          <w:tcPr>
            <w:tcW w:type="dxa" w:w="3120"/>
            <w:vAlign w:val="center"/>
            <w:shd w:fill="1E6B45"/>
          </w:tcPr>
          <w:p>
            <w:pPr>
              <w:keepNext/>
              <w:spacing w:before="80" w:after="80"/>
              <w:jc w:val="center"/>
            </w:pPr>
            <w:r>
              <w:rPr>
                <w:rFonts w:ascii="Calibri" w:hAnsi="Calibri"/>
                <w:b/>
                <w:color w:val="FFFFFF"/>
                <w:sz w:val="21"/>
              </w:rPr>
              <w:t>Tiêu chí đánh giá</w:t>
            </w:r>
          </w:p>
        </w:tc>
        <w:tc>
          <w:tcPr>
            <w:tcW w:type="dxa" w:w="3120"/>
            <w:vAlign w:val="center"/>
            <w:shd w:fill="1E6B45"/>
          </w:tcPr>
          <w:p>
            <w:pPr>
              <w:keepNext/>
              <w:spacing w:before="80" w:after="80"/>
              <w:jc w:val="center"/>
            </w:pPr>
            <w:r>
              <w:rPr>
                <w:rFonts w:ascii="Calibri" w:hAnsi="Calibri"/>
                <w:b/>
                <w:color w:val="FFFFFF"/>
                <w:sz w:val="21"/>
              </w:rPr>
              <w:t>Bảng Excel "Xấu" (Vi phạm quy tắc)</w:t>
            </w:r>
          </w:p>
        </w:tc>
        <w:tc>
          <w:tcPr>
            <w:tcW w:type="dxa" w:w="3120"/>
            <w:vAlign w:val="center"/>
            <w:shd w:fill="1E6B45"/>
          </w:tcPr>
          <w:p>
            <w:pPr>
              <w:keepNext/>
              <w:spacing w:before="80" w:after="80"/>
              <w:jc w:val="center"/>
            </w:pPr>
            <w:r>
              <w:rPr>
                <w:rFonts w:ascii="Calibri" w:hAnsi="Calibri"/>
                <w:b/>
                <w:color w:val="FFFFFF"/>
                <w:sz w:val="21"/>
              </w:rPr>
              <w:t>Bảng Excel "Đúng" (Chuẩn dữ liệu)</w:t>
            </w:r>
          </w:p>
        </w:tc>
      </w:tr>
      <w:tr>
        <w:trPr>
          <w:cantSplit/>
        </w:trPr>
        <w:tc>
          <w:tcPr>
            <w:tcW w:type="dxa" w:w="3120"/>
            <w:vAlign w:val="center"/>
          </w:tcPr>
          <w:p>
            <w:pPr>
              <w:keepNext/>
              <w:spacing w:before="60" w:after="60"/>
              <w:jc w:val="left"/>
            </w:pPr>
            <w:r>
              <w:rPr>
                <w:rFonts w:ascii="Calibri" w:hAnsi="Calibri"/>
                <w:color w:val="1E293B"/>
                <w:sz w:val="20"/>
              </w:rPr>
              <w:t>Trộn ô (Merge Cells)</w:t>
            </w:r>
          </w:p>
        </w:tc>
        <w:tc>
          <w:tcPr>
            <w:tcW w:type="dxa" w:w="3120"/>
            <w:vAlign w:val="center"/>
          </w:tcPr>
          <w:p>
            <w:pPr>
              <w:keepNext/>
              <w:spacing w:before="60" w:after="60"/>
              <w:jc w:val="left"/>
            </w:pPr>
            <w:r>
              <w:rPr>
                <w:rFonts w:ascii="Calibri" w:hAnsi="Calibri"/>
                <w:color w:val="1E293B"/>
                <w:sz w:val="20"/>
              </w:rPr>
              <w:t>Gộp ô ở tiêu đề phụ, gộp các dòng trùng loại BĐS hoặc trùng tên môi giới.</w:t>
            </w:r>
          </w:p>
        </w:tc>
        <w:tc>
          <w:tcPr>
            <w:tcW w:type="dxa" w:w="3120"/>
            <w:vAlign w:val="center"/>
          </w:tcPr>
          <w:p>
            <w:pPr>
              <w:keepNext/>
              <w:spacing w:before="60" w:after="60"/>
              <w:jc w:val="left"/>
            </w:pPr>
            <w:r>
              <w:rPr>
                <w:rFonts w:ascii="Calibri" w:hAnsi="Calibri"/>
                <w:color w:val="1E293B"/>
                <w:sz w:val="20"/>
              </w:rPr>
              <w:t>Tuyệt đối không dùng Merge Cells trong vùng dữ liệu; mỗi ô là một đơn vị độc lập.</w:t>
            </w:r>
          </w:p>
        </w:tc>
      </w:tr>
      <w:tr>
        <w:trPr>
          <w:cantSplit/>
        </w:trPr>
        <w:tc>
          <w:tcPr>
            <w:tcW w:type="dxa" w:w="3120"/>
            <w:vAlign w:val="center"/>
            <w:shd w:fill="F1F8F4"/>
          </w:tcPr>
          <w:p>
            <w:pPr>
              <w:keepNext/>
              <w:spacing w:before="60" w:after="60"/>
              <w:jc w:val="left"/>
            </w:pPr>
            <w:r>
              <w:rPr>
                <w:rFonts w:ascii="Calibri" w:hAnsi="Calibri"/>
                <w:color w:val="1E293B"/>
                <w:sz w:val="20"/>
              </w:rPr>
              <w:t>Cấu trúc Cột (Field)</w:t>
            </w:r>
          </w:p>
        </w:tc>
        <w:tc>
          <w:tcPr>
            <w:tcW w:type="dxa" w:w="3120"/>
            <w:vAlign w:val="center"/>
            <w:shd w:fill="F1F8F4"/>
          </w:tcPr>
          <w:p>
            <w:pPr>
              <w:keepNext/>
              <w:spacing w:before="60" w:after="60"/>
              <w:jc w:val="left"/>
            </w:pPr>
            <w:r>
              <w:rPr>
                <w:rFonts w:ascii="Calibri" w:hAnsi="Calibri"/>
                <w:color w:val="1E293B"/>
                <w:sz w:val="20"/>
              </w:rPr>
              <w:t>Tiêu đề cột trải dài 2-3 dòng; một cột chứa lẫn lộn cả số và chữ.</w:t>
            </w:r>
          </w:p>
        </w:tc>
        <w:tc>
          <w:tcPr>
            <w:tcW w:type="dxa" w:w="3120"/>
            <w:vAlign w:val="center"/>
            <w:shd w:fill="F1F8F4"/>
          </w:tcPr>
          <w:p>
            <w:pPr>
              <w:keepNext/>
              <w:spacing w:before="60" w:after="60"/>
              <w:jc w:val="left"/>
            </w:pPr>
            <w:r>
              <w:rPr>
                <w:rFonts w:ascii="Calibri" w:hAnsi="Calibri"/>
                <w:color w:val="1E293B"/>
                <w:sz w:val="20"/>
              </w:rPr>
              <w:t>Tiêu đề nằm gọn trên 1 dòng duy nhất; mỗi cột chỉ chứa 1 thuộc tính và 1 kiểu dữ liệu.</w:t>
            </w:r>
          </w:p>
        </w:tc>
      </w:tr>
      <w:tr>
        <w:trPr>
          <w:cantSplit/>
        </w:trPr>
        <w:tc>
          <w:tcPr>
            <w:tcW w:type="dxa" w:w="3120"/>
            <w:vAlign w:val="center"/>
          </w:tcPr>
          <w:p>
            <w:pPr>
              <w:keepNext/>
              <w:spacing w:before="60" w:after="60"/>
              <w:jc w:val="left"/>
            </w:pPr>
            <w:r>
              <w:rPr>
                <w:rFonts w:ascii="Calibri" w:hAnsi="Calibri"/>
                <w:color w:val="1E293B"/>
                <w:sz w:val="20"/>
              </w:rPr>
              <w:t>Cấu trúc Hàng (Record)</w:t>
            </w:r>
          </w:p>
        </w:tc>
        <w:tc>
          <w:tcPr>
            <w:tcW w:type="dxa" w:w="3120"/>
            <w:vAlign w:val="center"/>
          </w:tcPr>
          <w:p>
            <w:pPr>
              <w:keepNext/>
              <w:spacing w:before="60" w:after="60"/>
              <w:jc w:val="left"/>
            </w:pPr>
            <w:r>
              <w:rPr>
                <w:rFonts w:ascii="Calibri" w:hAnsi="Calibri"/>
                <w:color w:val="1E293B"/>
                <w:sz w:val="20"/>
              </w:rPr>
              <w:t>Có dòng trống xen kẽ; một bất động sản bị tách làm 2 dòng.</w:t>
            </w:r>
          </w:p>
        </w:tc>
        <w:tc>
          <w:tcPr>
            <w:tcW w:type="dxa" w:w="3120"/>
            <w:vAlign w:val="center"/>
          </w:tcPr>
          <w:p>
            <w:pPr>
              <w:keepNext/>
              <w:spacing w:before="60" w:after="60"/>
              <w:jc w:val="left"/>
            </w:pPr>
            <w:r>
              <w:rPr>
                <w:rFonts w:ascii="Calibri" w:hAnsi="Calibri"/>
                <w:color w:val="1E293B"/>
                <w:sz w:val="20"/>
              </w:rPr>
              <w:t>Mỗi dòng là 1 bản ghi (Record) hoàn chỉnh, liên tục, không có dòng trống ở giữa.</w:t>
            </w:r>
          </w:p>
        </w:tc>
      </w:tr>
      <w:tr>
        <w:trPr>
          <w:cantSplit/>
        </w:trPr>
        <w:tc>
          <w:tcPr>
            <w:tcW w:type="dxa" w:w="3120"/>
            <w:vAlign w:val="center"/>
            <w:shd w:fill="F1F8F4"/>
          </w:tcPr>
          <w:p>
            <w:pPr>
              <w:keepNext/>
              <w:spacing w:before="60" w:after="60"/>
              <w:jc w:val="left"/>
            </w:pPr>
            <w:r>
              <w:rPr>
                <w:rFonts w:ascii="Calibri" w:hAnsi="Calibri"/>
                <w:color w:val="1E293B"/>
                <w:sz w:val="20"/>
              </w:rPr>
              <w:t>Định dạng số và tiền tệ</w:t>
            </w:r>
          </w:p>
        </w:tc>
        <w:tc>
          <w:tcPr>
            <w:tcW w:type="dxa" w:w="3120"/>
            <w:vAlign w:val="center"/>
            <w:shd w:fill="F1F8F4"/>
          </w:tcPr>
          <w:p>
            <w:pPr>
              <w:keepNext/>
              <w:spacing w:before="60" w:after="60"/>
              <w:jc w:val="left"/>
            </w:pPr>
            <w:r>
              <w:rPr>
                <w:rFonts w:ascii="Calibri" w:hAnsi="Calibri"/>
                <w:color w:val="1E293B"/>
                <w:sz w:val="20"/>
              </w:rPr>
              <w:t>Gõ trực tiếp chữ "15,000,000,000 VND" hoặc dấu chấm phân cách sai chuẩn.</w:t>
            </w:r>
          </w:p>
        </w:tc>
        <w:tc>
          <w:tcPr>
            <w:tcW w:type="dxa" w:w="3120"/>
            <w:vAlign w:val="center"/>
            <w:shd w:fill="F1F8F4"/>
          </w:tcPr>
          <w:p>
            <w:pPr>
              <w:keepNext/>
              <w:spacing w:before="60" w:after="60"/>
              <w:jc w:val="left"/>
            </w:pPr>
            <w:r>
              <w:rPr>
                <w:rFonts w:ascii="Calibri" w:hAnsi="Calibri"/>
                <w:color w:val="1E293B"/>
                <w:sz w:val="20"/>
              </w:rPr>
              <w:t>Chỉ nhập giá trị số nguyên (15000000000) và dùng Number Format (#,##0) để hiển thị.</w:t>
            </w:r>
          </w:p>
        </w:tc>
      </w:tr>
      <w:tr>
        <w:trPr>
          <w:cantSplit/>
        </w:trPr>
        <w:tc>
          <w:tcPr>
            <w:tcW w:type="dxa" w:w="3120"/>
            <w:vAlign w:val="center"/>
          </w:tcPr>
          <w:p>
            <w:pPr>
              <w:spacing w:before="60" w:after="60"/>
              <w:jc w:val="left"/>
            </w:pPr>
            <w:r>
              <w:rPr>
                <w:rFonts w:ascii="Calibri" w:hAnsi="Calibri"/>
                <w:color w:val="1E293B"/>
                <w:sz w:val="20"/>
              </w:rPr>
              <w:t>Tra cứu và tính toán</w:t>
            </w:r>
          </w:p>
        </w:tc>
        <w:tc>
          <w:tcPr>
            <w:tcW w:type="dxa" w:w="3120"/>
            <w:vAlign w:val="center"/>
          </w:tcPr>
          <w:p>
            <w:pPr>
              <w:spacing w:before="60" w:after="60"/>
              <w:jc w:val="left"/>
            </w:pPr>
            <w:r>
              <w:rPr>
                <w:rFonts w:ascii="Calibri" w:hAnsi="Calibri"/>
                <w:color w:val="1E293B"/>
                <w:sz w:val="20"/>
              </w:rPr>
              <w:t>Gõ tay tên môi giới, tỷ lệ hoa hồng và số tiền hoa hồng cho từng căn.</w:t>
            </w:r>
          </w:p>
        </w:tc>
        <w:tc>
          <w:tcPr>
            <w:tcW w:type="dxa" w:w="3120"/>
            <w:vAlign w:val="center"/>
          </w:tcPr>
          <w:p>
            <w:pPr>
              <w:spacing w:before="60" w:after="60"/>
              <w:jc w:val="left"/>
            </w:pPr>
            <w:r>
              <w:rPr>
                <w:rFonts w:ascii="Calibri" w:hAnsi="Calibri"/>
                <w:color w:val="1E293B"/>
                <w:sz w:val="20"/>
              </w:rPr>
              <w:t>Tách bảng tra cứu riêng, dùng VLOOKUP kết hợp khóa vùng ($H$4:$J$7) để tự động hóa.</w:t>
            </w:r>
          </w:p>
        </w:tc>
      </w:tr>
    </w:tbl>
    <w:p>
      <w:pPr>
        <w:spacing w:before="0" w:after="80"/>
      </w:pPr>
    </w:p>
    <w:p>
      <w:pPr>
        <w:pStyle w:val="Heading1"/>
        <w:keepNext/>
      </w:pPr>
      <w:r>
        <w:rPr>
          <w:rFonts w:ascii="Calibri" w:hAnsi="Calibri"/>
          <w:b/>
          <w:color w:val="1E6B45"/>
          <w:sz w:val="30"/>
        </w:rPr>
        <w:t>PHẦN 2. TÀI LIỆU ĐẶC TẢ YÊU CẦU PHẦN MỀM (SRS) &amp; HỒ SƠ DỰ ÁN SMART-HOME</w:t>
      </w:r>
    </w:p>
    <w:p>
      <w:pPr>
        <w:spacing w:line="276" w:lineRule="auto" w:after="120"/>
      </w:pPr>
      <w:r>
        <w:rPr>
          <w:rFonts w:ascii="Calibri" w:hAnsi="Calibri"/>
          <w:color w:val="1E293B"/>
          <w:sz w:val="22"/>
        </w:rPr>
        <w:t>Phần này trình bày hồ sơ giới thiệu dự án gửi đối tác kết hợp tài liệu Đặc tả Yêu cầu Phần mềm (SRS - Software Requirements Specification: tài liệu mô tả rõ phần mềm cần làm những chức năng gì và hoạt động ra sao). Tài liệu được thiết kế phân cấp bằng hệ thống Heading 1, Heading 2, Heading 3 và mặc định phục vụ một người dùng thông thường (khách hàng cá nhân tìm kiếm, tính giá và đặt giá mua/thuê nhà thông minh).</w:t>
      </w:r>
    </w:p>
    <w:p>
      <w:pPr>
        <w:pStyle w:val="Heading2"/>
        <w:keepNext/>
      </w:pPr>
      <w:r>
        <w:rPr>
          <w:rFonts w:ascii="Calibri" w:hAnsi="Calibri"/>
          <w:b/>
          <w:color w:val="0F4C81"/>
          <w:sz w:val="26"/>
        </w:rPr>
        <w:t>2.1. Giới thiệu tổng quan dự án Smart-Home (Introduction)</w:t>
      </w:r>
    </w:p>
    <w:p>
      <w:pPr>
        <w:pStyle w:val="Heading3"/>
        <w:keepNext/>
      </w:pPr>
      <w:r>
        <w:rPr>
          <w:rFonts w:ascii="Calibri" w:hAnsi="Calibri"/>
          <w:b/>
          <w:color w:val="1E293B"/>
          <w:sz w:val="23"/>
        </w:rPr>
        <w:t>2.1.1. Mục đích tài liệu và Tầm nhìn dự án</w:t>
      </w:r>
    </w:p>
    <w:p>
      <w:pPr>
        <w:spacing w:line="276" w:lineRule="auto" w:after="120"/>
      </w:pPr>
      <w:r>
        <w:rPr>
          <w:rFonts w:ascii="Calibri" w:hAnsi="Calibri"/>
          <w:color w:val="1E293B"/>
          <w:sz w:val="22"/>
        </w:rPr>
        <w:t>Dự án khởi nghiệp Smart-Home xây dựng giải pháp nhà thông minh cho cuộc sống hiện đại với phương châm "Kết nối - Tiện nghi - An toàn - Tiết kiệm". Tài liệu này giúp đối tác và đội ngũ phát triển nắm rõ cách thức hoạt động của nền tảng giao dịch, đấu giá và quản lý bất động sản thông minh trực tuyến.</w:t>
      </w:r>
    </w:p>
    <w:p>
      <w:pPr>
        <w:pStyle w:val="Heading3"/>
        <w:keepNext/>
      </w:pPr>
      <w:r>
        <w:rPr>
          <w:rFonts w:ascii="Calibri" w:hAnsi="Calibri"/>
          <w:b/>
          <w:color w:val="1E293B"/>
          <w:sz w:val="23"/>
        </w:rPr>
        <w:t>2.1.2. Ba trụ cột giá trị cốt lõi của Smart-Home</w:t>
      </w:r>
    </w:p>
    <w:p>
      <w:pPr>
        <w:pStyle w:val="ListBullet"/>
        <w:spacing w:line="276" w:lineRule="auto" w:before="20" w:after="80"/>
      </w:pPr>
      <w:r>
        <w:rPr>
          <w:rFonts w:ascii="Calibri" w:hAnsi="Calibri"/>
          <w:b/>
          <w:color w:val="1E293B"/>
          <w:sz w:val="22"/>
        </w:rPr>
        <w:t xml:space="preserve">An toàn bảo mật: </w:t>
      </w:r>
      <w:r>
        <w:rPr>
          <w:rFonts w:ascii="Calibri" w:hAnsi="Calibri"/>
          <w:color w:val="1E293B"/>
          <w:sz w:val="22"/>
        </w:rPr>
        <w:t>Tích hợp hệ thống khóa cửa vân tay và camera giám sát trực tuyến giúp bảo vệ ngôi nhà 24/7.</w:t>
      </w:r>
    </w:p>
    <w:p>
      <w:pPr>
        <w:pStyle w:val="ListBullet"/>
        <w:spacing w:line="276" w:lineRule="auto" w:before="20" w:after="80"/>
      </w:pPr>
      <w:r>
        <w:rPr>
          <w:rFonts w:ascii="Calibri" w:hAnsi="Calibri"/>
          <w:b/>
          <w:color w:val="1E293B"/>
          <w:sz w:val="22"/>
        </w:rPr>
        <w:t xml:space="preserve">Điều khiển từ xa: </w:t>
      </w:r>
      <w:r>
        <w:rPr>
          <w:rFonts w:ascii="Calibri" w:hAnsi="Calibri"/>
          <w:color w:val="1E293B"/>
          <w:sz w:val="22"/>
        </w:rPr>
        <w:t>Cho phép người dùng bật/tắt đèn phòng khách, điều chỉnh điều hòa (24°C), đóng/mở rèm cửa và kiểm soát cửa chính ngay trên ứng dụng điện thoại.</w:t>
      </w:r>
    </w:p>
    <w:p>
      <w:pPr>
        <w:pStyle w:val="ListBullet"/>
        <w:spacing w:line="276" w:lineRule="auto" w:before="20" w:after="80"/>
      </w:pPr>
      <w:r>
        <w:rPr>
          <w:rFonts w:ascii="Calibri" w:hAnsi="Calibri"/>
          <w:b/>
          <w:color w:val="1E293B"/>
          <w:sz w:val="22"/>
        </w:rPr>
        <w:t xml:space="preserve">Tiết kiệm năng lượng: </w:t>
      </w:r>
      <w:r>
        <w:rPr>
          <w:rFonts w:ascii="Calibri" w:hAnsi="Calibri"/>
          <w:color w:val="1E293B"/>
          <w:sz w:val="22"/>
        </w:rPr>
        <w:t>Tự động tối ưu công suất tiêu thụ điện của điều hòa và hệ thống chiếu sáng theo thói quen sinh hoạt, giảm chi phí hóa đơn hàng tháng.</w:t>
      </w:r>
    </w:p>
    <w:p>
      <w:pPr>
        <w:pStyle w:val="Heading2"/>
        <w:keepNext/>
      </w:pPr>
      <w:r>
        <w:rPr>
          <w:rFonts w:ascii="Calibri" w:hAnsi="Calibri"/>
          <w:b/>
          <w:color w:val="0F4C81"/>
          <w:sz w:val="26"/>
        </w:rPr>
        <w:t>2.2. Mô tả tổng thể hệ thống (Overall Description)</w:t>
      </w:r>
    </w:p>
    <w:p>
      <w:pPr>
        <w:pStyle w:val="Heading3"/>
        <w:keepNext/>
      </w:pPr>
      <w:r>
        <w:rPr>
          <w:rFonts w:ascii="Calibri" w:hAnsi="Calibri"/>
          <w:b/>
          <w:color w:val="1E293B"/>
          <w:sz w:val="23"/>
        </w:rPr>
        <w:t>2.2.1. Đối tượng người dùng mục tiêu</w:t>
      </w:r>
    </w:p>
    <w:p>
      <w:pPr>
        <w:spacing w:line="276" w:lineRule="auto" w:after="120"/>
      </w:pPr>
      <w:r>
        <w:rPr>
          <w:rFonts w:ascii="Calibri" w:hAnsi="Calibri"/>
          <w:color w:val="1E293B"/>
          <w:sz w:val="22"/>
        </w:rPr>
        <w:t>Hệ thống tập trung phục vụ một nhóm người dùng thông thường duy nhất: khách hàng cá nhân có nhu cầu tìm mua, thuê hoặc tham gia trả giá (đấu giá trực tuyến) các căn hộ, nhà phố và biệt thự đã trang bị sẵn gói thiết bị Smart-Home. Người dùng chỉ cần thao tác trên một giao diện đơn giản mà không đòi hỏi kiến thức kỹ thuật phức tạp.</w:t>
      </w:r>
    </w:p>
    <w:p>
      <w:pPr>
        <w:pStyle w:val="Heading3"/>
        <w:keepNext/>
      </w:pPr>
      <w:r>
        <w:rPr>
          <w:rFonts w:ascii="Calibri" w:hAnsi="Calibri"/>
          <w:b/>
          <w:color w:val="1E293B"/>
          <w:sz w:val="23"/>
        </w:rPr>
        <w:t>2.2.2. Môi trường vận hành và Giả định cơ bản</w:t>
      </w:r>
    </w:p>
    <w:p>
      <w:pPr>
        <w:spacing w:line="276" w:lineRule="auto" w:after="120"/>
      </w:pPr>
      <w:r>
        <w:rPr>
          <w:rFonts w:ascii="Calibri" w:hAnsi="Calibri"/>
          <w:color w:val="1E293B"/>
          <w:sz w:val="22"/>
        </w:rPr>
        <w:t>Nền tảng hoạt động trên trình duyệt web máy tính và ứng dụng điện thoại thông minh có kết nối Internet. Dữ liệu danh mục bất động sản và mức chiết khấu, hoa hồng môi giới được đồng bộ trực tiếp từ bảng dữ liệu chuẩn hóa của dự án.</w:t>
      </w:r>
    </w:p>
    <w:p>
      <w:pPr>
        <w:pStyle w:val="Heading2"/>
        <w:keepNext/>
      </w:pPr>
      <w:r>
        <w:rPr>
          <w:rFonts w:ascii="Calibri" w:hAnsi="Calibri"/>
          <w:b/>
          <w:color w:val="0F4C81"/>
          <w:sz w:val="26"/>
        </w:rPr>
        <w:t>2.3. Đặc tả yêu cầu chức năng (Functional Requirements)</w:t>
      </w:r>
    </w:p>
    <w:p>
      <w:pPr>
        <w:pStyle w:val="Heading3"/>
        <w:keepNext/>
      </w:pPr>
      <w:r>
        <w:rPr>
          <w:rFonts w:ascii="Calibri" w:hAnsi="Calibri"/>
          <w:b/>
          <w:color w:val="1E293B"/>
          <w:sz w:val="23"/>
        </w:rPr>
        <w:t>2.3.1. Chức năng tra cứu danh sách bất động sản Smart-Home</w:t>
      </w:r>
    </w:p>
    <w:p>
      <w:pPr>
        <w:spacing w:line="276" w:lineRule="auto" w:after="120"/>
      </w:pPr>
      <w:r>
        <w:rPr>
          <w:rFonts w:ascii="Calibri" w:hAnsi="Calibri"/>
          <w:color w:val="1E293B"/>
          <w:sz w:val="22"/>
        </w:rPr>
        <w:t>Người dùng có thể xem danh sách các bất động sản đang mở bán hoặc cho thuê (bao gồm Biệt thự, Căn hộ, Nhà phố) cùng thông tin mã bất động sản, giá niêm yết, mức chiết khấu ưu đãi, giá thuê hàng tháng và chuyên viên môi giới phụ trách.</w:t>
      </w:r>
    </w:p>
    <w:p>
      <w:pPr>
        <w:pStyle w:val="Heading3"/>
        <w:keepNext/>
      </w:pPr>
      <w:r>
        <w:rPr>
          <w:rFonts w:ascii="Calibri" w:hAnsi="Calibri"/>
          <w:b/>
          <w:color w:val="1E293B"/>
          <w:sz w:val="23"/>
        </w:rPr>
        <w:t>2.3.2. Chức năng đặt giá đấu giá trực tuyến và tính giá tự động</w:t>
      </w:r>
    </w:p>
    <w:p>
      <w:pPr>
        <w:pStyle w:val="ListBullet"/>
        <w:spacing w:line="276" w:lineRule="auto" w:before="20" w:after="80"/>
      </w:pPr>
      <w:r>
        <w:rPr>
          <w:rFonts w:ascii="Calibri" w:hAnsi="Calibri"/>
          <w:b/>
          <w:color w:val="1E293B"/>
          <w:sz w:val="22"/>
        </w:rPr>
        <w:t xml:space="preserve">Đặt giá trực tuyến: </w:t>
      </w:r>
      <w:r>
        <w:rPr>
          <w:rFonts w:ascii="Calibri" w:hAnsi="Calibri"/>
          <w:color w:val="1E293B"/>
          <w:sz w:val="22"/>
        </w:rPr>
        <w:t>Hiển thị giá khởi điểm và bước giá hợp lệ cho từng căn nhà đất.</w:t>
      </w:r>
    </w:p>
    <w:p>
      <w:pPr>
        <w:pStyle w:val="ListBullet"/>
        <w:spacing w:line="276" w:lineRule="auto" w:before="20" w:after="80"/>
      </w:pPr>
      <w:r>
        <w:rPr>
          <w:rFonts w:ascii="Calibri" w:hAnsi="Calibri"/>
          <w:b/>
          <w:color w:val="1E293B"/>
          <w:sz w:val="22"/>
        </w:rPr>
        <w:t xml:space="preserve">Tính toán minh bạch: </w:t>
      </w:r>
      <w:r>
        <w:rPr>
          <w:rFonts w:ascii="Calibri" w:hAnsi="Calibri"/>
          <w:color w:val="1E293B"/>
          <w:sz w:val="22"/>
        </w:rPr>
        <w:t>Hệ thống tự động tính Giá sau chiết khấu (Giá niêm yết trừ đi khoản chiết khấu) và Giá thuê dự kiến theo tháng để người dùng so sánh trước khi ra quyết định.</w:t>
      </w:r>
    </w:p>
    <w:p>
      <w:pPr>
        <w:pStyle w:val="Heading3"/>
        <w:keepNext/>
      </w:pPr>
      <w:r>
        <w:rPr>
          <w:rFonts w:ascii="Calibri" w:hAnsi="Calibri"/>
          <w:b/>
          <w:color w:val="1E293B"/>
          <w:sz w:val="23"/>
        </w:rPr>
        <w:t>2.3.3. Chức năng trải nghiệm điều khiển thử thiết bị Smart-Home</w:t>
      </w:r>
    </w:p>
    <w:p>
      <w:pPr>
        <w:spacing w:line="276" w:lineRule="auto" w:after="120"/>
      </w:pPr>
      <w:r>
        <w:rPr>
          <w:rFonts w:ascii="Calibri" w:hAnsi="Calibri"/>
          <w:color w:val="1E293B"/>
          <w:sz w:val="22"/>
        </w:rPr>
        <w:t>Trên trang chi tiết của mỗi căn nhà, người dùng có thể bấm thử bảng điều khiển mô phỏng (bật đèn phòng khách, chỉnh điều hòa 24°C, xem trạng thái camera và khóa cửa chính) để hình dung trực quan tiện ích thực tế của ngôi nhà.</w:t>
      </w:r>
    </w:p>
    <w:p>
      <w:pPr>
        <w:pStyle w:val="Heading2"/>
        <w:keepNext/>
      </w:pPr>
      <w:r>
        <w:rPr>
          <w:rFonts w:ascii="Calibri" w:hAnsi="Calibri"/>
          <w:b/>
          <w:color w:val="0F4C81"/>
          <w:sz w:val="26"/>
        </w:rPr>
        <w:t>2.4. Yêu cầu phi chức năng (Non-Functional Requirements)</w:t>
      </w:r>
    </w:p>
    <w:p>
      <w:pPr>
        <w:pStyle w:val="Heading3"/>
        <w:keepNext/>
      </w:pPr>
      <w:r>
        <w:rPr>
          <w:rFonts w:ascii="Calibri" w:hAnsi="Calibri"/>
          <w:b/>
          <w:color w:val="1E293B"/>
          <w:sz w:val="23"/>
        </w:rPr>
        <w:t>2.4.1. Tính dễ sử dụng và Giao diện trực quan</w:t>
      </w:r>
    </w:p>
    <w:p>
      <w:pPr>
        <w:spacing w:line="276" w:lineRule="auto" w:after="120"/>
      </w:pPr>
      <w:r>
        <w:rPr>
          <w:rFonts w:ascii="Calibri" w:hAnsi="Calibri"/>
          <w:color w:val="1E293B"/>
          <w:sz w:val="22"/>
        </w:rPr>
        <w:t>Giao diện thiết kế thoáng, nhiều khoảng trắng (White Space), chữ rõ ràng, giúp người dùng mới làm quen trong vòng 3 phút.</w:t>
      </w:r>
    </w:p>
    <w:p>
      <w:pPr>
        <w:pStyle w:val="Heading3"/>
        <w:keepNext/>
      </w:pPr>
      <w:r>
        <w:rPr>
          <w:rFonts w:ascii="Calibri" w:hAnsi="Calibri"/>
          <w:b/>
          <w:color w:val="1E293B"/>
          <w:sz w:val="23"/>
        </w:rPr>
        <w:t>2.4.2. Hiệu năng phản hồi và Độ chính xác dữ liệu</w:t>
      </w:r>
    </w:p>
    <w:p>
      <w:pPr>
        <w:spacing w:line="276" w:lineRule="auto" w:after="120"/>
      </w:pPr>
      <w:r>
        <w:rPr>
          <w:rFonts w:ascii="Calibri" w:hAnsi="Calibri"/>
          <w:color w:val="1E293B"/>
          <w:sz w:val="22"/>
        </w:rPr>
        <w:t>Thời gian tải danh sách nhà đất dưới 2 giây. Mọi phép tính chiết khấu, giá thuê và hoa hồng môi giới phải khớp 100% với công thức trên bảng tính quản lý của doanh nghiệp.</w:t>
      </w:r>
    </w:p>
    <w:p>
      <w:pPr>
        <w:pStyle w:val="Heading2"/>
        <w:keepNext/>
      </w:pPr>
      <w:r>
        <w:rPr>
          <w:rFonts w:ascii="Calibri" w:hAnsi="Calibri"/>
          <w:b/>
          <w:color w:val="0F4C81"/>
          <w:sz w:val="26"/>
        </w:rPr>
        <w:t>2.5. Danh mục dữ liệu nhà đất và bảng tra cứu môi giới của dự án</w:t>
      </w:r>
    </w:p>
    <w:p>
      <w:pPr>
        <w:spacing w:line="276" w:lineRule="auto" w:after="120"/>
      </w:pPr>
      <w:r>
        <w:rPr>
          <w:rFonts w:ascii="Calibri" w:hAnsi="Calibri"/>
          <w:color w:val="1E293B"/>
          <w:sz w:val="22"/>
        </w:rPr>
        <w:t>Dưới đây là bảng dữ liệu chuẩn (tuân thủ đúng nguyên tắc Field/Record, không trộn ô) quản lý 6 bất động sản của dự án Smart-Home. Các cột Tỷ lệ chiết khấu, Giá sau chiết khấu và Giá thuê/tháng là dữ liệu giả định minh họa để hoàn thiện bài toán tính chiết khấu và giá thuê theo yêu cầu đề bài; các cột Mã BĐS, Tên BĐS, Loại BĐS, Giá bán, Mã MG, Môi giới, Tỷ lệ hoa hồng và Hoa hồng lấy chính xác từ hồ sơ dự án:</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trPr>
        <w:tc>
          <w:tcPr>
            <w:tcW w:type="dxa" w:w="851"/>
            <w:vAlign w:val="center"/>
            <w:shd w:fill="1E6B45"/>
          </w:tcPr>
          <w:p>
            <w:pPr>
              <w:keepNext/>
              <w:spacing w:before="80" w:after="80"/>
              <w:jc w:val="center"/>
            </w:pPr>
            <w:r>
              <w:rPr>
                <w:rFonts w:ascii="Calibri" w:hAnsi="Calibri"/>
                <w:b/>
                <w:color w:val="FFFFFF"/>
                <w:sz w:val="21"/>
              </w:rPr>
              <w:t>Mã BĐS</w:t>
            </w:r>
          </w:p>
        </w:tc>
        <w:tc>
          <w:tcPr>
            <w:tcW w:type="dxa" w:w="851"/>
            <w:vAlign w:val="center"/>
            <w:shd w:fill="1E6B45"/>
          </w:tcPr>
          <w:p>
            <w:pPr>
              <w:keepNext/>
              <w:spacing w:before="80" w:after="80"/>
              <w:jc w:val="center"/>
            </w:pPr>
            <w:r>
              <w:rPr>
                <w:rFonts w:ascii="Calibri" w:hAnsi="Calibri"/>
                <w:b/>
                <w:color w:val="FFFFFF"/>
                <w:sz w:val="21"/>
              </w:rPr>
              <w:t>Tên BĐS</w:t>
            </w:r>
          </w:p>
        </w:tc>
        <w:tc>
          <w:tcPr>
            <w:tcW w:type="dxa" w:w="851"/>
            <w:vAlign w:val="center"/>
            <w:shd w:fill="1E6B45"/>
          </w:tcPr>
          <w:p>
            <w:pPr>
              <w:keepNext/>
              <w:spacing w:before="80" w:after="80"/>
              <w:jc w:val="center"/>
            </w:pPr>
            <w:r>
              <w:rPr>
                <w:rFonts w:ascii="Calibri" w:hAnsi="Calibri"/>
                <w:b/>
                <w:color w:val="FFFFFF"/>
                <w:sz w:val="21"/>
              </w:rPr>
              <w:t>Loại BĐS</w:t>
            </w:r>
          </w:p>
        </w:tc>
        <w:tc>
          <w:tcPr>
            <w:tcW w:type="dxa" w:w="851"/>
            <w:vAlign w:val="center"/>
            <w:shd w:fill="1E6B45"/>
          </w:tcPr>
          <w:p>
            <w:pPr>
              <w:keepNext/>
              <w:spacing w:before="80" w:after="80"/>
              <w:jc w:val="center"/>
            </w:pPr>
            <w:r>
              <w:rPr>
                <w:rFonts w:ascii="Calibri" w:hAnsi="Calibri"/>
                <w:b/>
                <w:color w:val="FFFFFF"/>
                <w:sz w:val="21"/>
              </w:rPr>
              <w:t>Giá bán (VND)</w:t>
            </w:r>
          </w:p>
        </w:tc>
        <w:tc>
          <w:tcPr>
            <w:tcW w:type="dxa" w:w="851"/>
            <w:vAlign w:val="center"/>
            <w:shd w:fill="1E6B45"/>
          </w:tcPr>
          <w:p>
            <w:pPr>
              <w:keepNext/>
              <w:spacing w:before="80" w:after="80"/>
              <w:jc w:val="center"/>
            </w:pPr>
            <w:r>
              <w:rPr>
                <w:rFonts w:ascii="Calibri" w:hAnsi="Calibri"/>
                <w:b/>
                <w:color w:val="FFFFFF"/>
                <w:sz w:val="21"/>
              </w:rPr>
              <w:t>Chiết khấu</w:t>
            </w:r>
          </w:p>
        </w:tc>
        <w:tc>
          <w:tcPr>
            <w:tcW w:type="dxa" w:w="851"/>
            <w:vAlign w:val="center"/>
            <w:shd w:fill="1E6B45"/>
          </w:tcPr>
          <w:p>
            <w:pPr>
              <w:keepNext/>
              <w:spacing w:before="80" w:after="80"/>
              <w:jc w:val="center"/>
            </w:pPr>
            <w:r>
              <w:rPr>
                <w:rFonts w:ascii="Calibri" w:hAnsi="Calibri"/>
                <w:b/>
                <w:color w:val="FFFFFF"/>
                <w:sz w:val="21"/>
              </w:rPr>
              <w:t>Giá sau CK (VND)</w:t>
            </w:r>
          </w:p>
        </w:tc>
        <w:tc>
          <w:tcPr>
            <w:tcW w:type="dxa" w:w="851"/>
            <w:vAlign w:val="center"/>
            <w:shd w:fill="1E6B45"/>
          </w:tcPr>
          <w:p>
            <w:pPr>
              <w:keepNext/>
              <w:spacing w:before="80" w:after="80"/>
              <w:jc w:val="center"/>
            </w:pPr>
            <w:r>
              <w:rPr>
                <w:rFonts w:ascii="Calibri" w:hAnsi="Calibri"/>
                <w:b/>
                <w:color w:val="FFFFFF"/>
                <w:sz w:val="21"/>
              </w:rPr>
              <w:t>Giá thuê/tháng</w:t>
            </w:r>
          </w:p>
        </w:tc>
        <w:tc>
          <w:tcPr>
            <w:tcW w:type="dxa" w:w="851"/>
            <w:vAlign w:val="center"/>
            <w:shd w:fill="1E6B45"/>
          </w:tcPr>
          <w:p>
            <w:pPr>
              <w:keepNext/>
              <w:spacing w:before="80" w:after="80"/>
              <w:jc w:val="center"/>
            </w:pPr>
            <w:r>
              <w:rPr>
                <w:rFonts w:ascii="Calibri" w:hAnsi="Calibri"/>
                <w:b/>
                <w:color w:val="FFFFFF"/>
                <w:sz w:val="21"/>
              </w:rPr>
              <w:t>Mã MG</w:t>
            </w:r>
          </w:p>
        </w:tc>
        <w:tc>
          <w:tcPr>
            <w:tcW w:type="dxa" w:w="851"/>
            <w:vAlign w:val="center"/>
            <w:shd w:fill="1E6B45"/>
          </w:tcPr>
          <w:p>
            <w:pPr>
              <w:keepNext/>
              <w:spacing w:before="80" w:after="80"/>
              <w:jc w:val="center"/>
            </w:pPr>
            <w:r>
              <w:rPr>
                <w:rFonts w:ascii="Calibri" w:hAnsi="Calibri"/>
                <w:b/>
                <w:color w:val="FFFFFF"/>
                <w:sz w:val="21"/>
              </w:rPr>
              <w:t>Môi giới</w:t>
            </w:r>
          </w:p>
        </w:tc>
        <w:tc>
          <w:tcPr>
            <w:tcW w:type="dxa" w:w="851"/>
            <w:vAlign w:val="center"/>
            <w:shd w:fill="1E6B45"/>
          </w:tcPr>
          <w:p>
            <w:pPr>
              <w:keepNext/>
              <w:spacing w:before="80" w:after="80"/>
              <w:jc w:val="center"/>
            </w:pPr>
            <w:r>
              <w:rPr>
                <w:rFonts w:ascii="Calibri" w:hAnsi="Calibri"/>
                <w:b/>
                <w:color w:val="FFFFFF"/>
                <w:sz w:val="21"/>
              </w:rPr>
              <w:t>Tỷ lệ HH</w:t>
            </w:r>
          </w:p>
        </w:tc>
        <w:tc>
          <w:tcPr>
            <w:tcW w:type="dxa" w:w="851"/>
            <w:vAlign w:val="center"/>
            <w:shd w:fill="1E6B45"/>
          </w:tcPr>
          <w:p>
            <w:pPr>
              <w:keepNext/>
              <w:spacing w:before="80" w:after="80"/>
              <w:jc w:val="center"/>
            </w:pPr>
            <w:r>
              <w:rPr>
                <w:rFonts w:ascii="Calibri" w:hAnsi="Calibri"/>
                <w:b/>
                <w:color w:val="FFFFFF"/>
                <w:sz w:val="21"/>
              </w:rPr>
              <w:t>Hoa hồng (VND)</w:t>
            </w:r>
          </w:p>
        </w:tc>
      </w:tr>
      <w:tr>
        <w:trPr>
          <w:cantSplit/>
        </w:trPr>
        <w:tc>
          <w:tcPr>
            <w:tcW w:type="dxa" w:w="851"/>
            <w:vAlign w:val="center"/>
          </w:tcPr>
          <w:p>
            <w:pPr>
              <w:keepNext/>
              <w:spacing w:before="60" w:after="60"/>
              <w:jc w:val="center"/>
            </w:pPr>
            <w:r>
              <w:rPr>
                <w:rFonts w:ascii="Calibri" w:hAnsi="Calibri"/>
                <w:color w:val="1E293B"/>
                <w:sz w:val="20"/>
              </w:rPr>
              <w:t>SH001</w:t>
            </w:r>
          </w:p>
        </w:tc>
        <w:tc>
          <w:tcPr>
            <w:tcW w:type="dxa" w:w="851"/>
            <w:vAlign w:val="center"/>
          </w:tcPr>
          <w:p>
            <w:pPr>
              <w:keepNext/>
              <w:spacing w:before="60" w:after="60"/>
              <w:jc w:val="left"/>
            </w:pPr>
            <w:r>
              <w:rPr>
                <w:rFonts w:ascii="Calibri" w:hAnsi="Calibri"/>
                <w:color w:val="1E293B"/>
                <w:sz w:val="20"/>
              </w:rPr>
              <w:t>Villa Riverside</w:t>
            </w:r>
          </w:p>
        </w:tc>
        <w:tc>
          <w:tcPr>
            <w:tcW w:type="dxa" w:w="851"/>
            <w:vAlign w:val="center"/>
          </w:tcPr>
          <w:p>
            <w:pPr>
              <w:keepNext/>
              <w:spacing w:before="60" w:after="60"/>
              <w:jc w:val="left"/>
            </w:pPr>
            <w:r>
              <w:rPr>
                <w:rFonts w:ascii="Calibri" w:hAnsi="Calibri"/>
                <w:color w:val="1E293B"/>
                <w:sz w:val="20"/>
              </w:rPr>
              <w:t>Biệt thự</w:t>
            </w:r>
          </w:p>
        </w:tc>
        <w:tc>
          <w:tcPr>
            <w:tcW w:type="dxa" w:w="851"/>
            <w:vAlign w:val="center"/>
          </w:tcPr>
          <w:p>
            <w:pPr>
              <w:keepNext/>
              <w:spacing w:before="60" w:after="60"/>
              <w:jc w:val="right"/>
            </w:pPr>
            <w:r>
              <w:rPr>
                <w:rFonts w:ascii="Calibri" w:hAnsi="Calibri"/>
                <w:color w:val="1E293B"/>
                <w:sz w:val="20"/>
              </w:rPr>
              <w:t>15,000,000,000</w:t>
            </w:r>
          </w:p>
        </w:tc>
        <w:tc>
          <w:tcPr>
            <w:tcW w:type="dxa" w:w="851"/>
            <w:vAlign w:val="center"/>
          </w:tcPr>
          <w:p>
            <w:pPr>
              <w:keepNext/>
              <w:spacing w:before="60" w:after="60"/>
              <w:jc w:val="right"/>
            </w:pPr>
            <w:r>
              <w:rPr>
                <w:rFonts w:ascii="Calibri" w:hAnsi="Calibri"/>
                <w:color w:val="1E293B"/>
                <w:sz w:val="20"/>
              </w:rPr>
              <w:t>5.0%</w:t>
            </w:r>
          </w:p>
        </w:tc>
        <w:tc>
          <w:tcPr>
            <w:tcW w:type="dxa" w:w="851"/>
            <w:vAlign w:val="center"/>
          </w:tcPr>
          <w:p>
            <w:pPr>
              <w:keepNext/>
              <w:spacing w:before="60" w:after="60"/>
              <w:jc w:val="right"/>
            </w:pPr>
            <w:r>
              <w:rPr>
                <w:rFonts w:ascii="Calibri" w:hAnsi="Calibri"/>
                <w:color w:val="1E293B"/>
                <w:sz w:val="20"/>
              </w:rPr>
              <w:t>14,250,000,000</w:t>
            </w:r>
          </w:p>
        </w:tc>
        <w:tc>
          <w:tcPr>
            <w:tcW w:type="dxa" w:w="851"/>
            <w:vAlign w:val="center"/>
          </w:tcPr>
          <w:p>
            <w:pPr>
              <w:keepNext/>
              <w:spacing w:before="60" w:after="60"/>
              <w:jc w:val="right"/>
            </w:pPr>
            <w:r>
              <w:rPr>
                <w:rFonts w:ascii="Calibri" w:hAnsi="Calibri"/>
                <w:color w:val="1E293B"/>
                <w:sz w:val="20"/>
              </w:rPr>
              <w:t>60,000,000</w:t>
            </w:r>
          </w:p>
        </w:tc>
        <w:tc>
          <w:tcPr>
            <w:tcW w:type="dxa" w:w="851"/>
            <w:vAlign w:val="center"/>
          </w:tcPr>
          <w:p>
            <w:pPr>
              <w:keepNext/>
              <w:spacing w:before="60" w:after="60"/>
              <w:jc w:val="center"/>
            </w:pPr>
            <w:r>
              <w:rPr>
                <w:rFonts w:ascii="Calibri" w:hAnsi="Calibri"/>
                <w:color w:val="1E293B"/>
                <w:sz w:val="20"/>
              </w:rPr>
              <w:t>MG01</w:t>
            </w:r>
          </w:p>
        </w:tc>
        <w:tc>
          <w:tcPr>
            <w:tcW w:type="dxa" w:w="851"/>
            <w:vAlign w:val="center"/>
          </w:tcPr>
          <w:p>
            <w:pPr>
              <w:keepNext/>
              <w:spacing w:before="60" w:after="60"/>
              <w:jc w:val="left"/>
            </w:pPr>
            <w:r>
              <w:rPr>
                <w:rFonts w:ascii="Calibri" w:hAnsi="Calibri"/>
                <w:color w:val="1E293B"/>
                <w:sz w:val="20"/>
              </w:rPr>
              <w:t>Nguyễn An</w:t>
            </w:r>
          </w:p>
        </w:tc>
        <w:tc>
          <w:tcPr>
            <w:tcW w:type="dxa" w:w="851"/>
            <w:vAlign w:val="center"/>
          </w:tcPr>
          <w:p>
            <w:pPr>
              <w:keepNext/>
              <w:spacing w:before="60" w:after="60"/>
              <w:jc w:val="right"/>
            </w:pPr>
            <w:r>
              <w:rPr>
                <w:rFonts w:ascii="Calibri" w:hAnsi="Calibri"/>
                <w:color w:val="1E293B"/>
                <w:sz w:val="20"/>
              </w:rPr>
              <w:t>2.0%</w:t>
            </w:r>
          </w:p>
        </w:tc>
        <w:tc>
          <w:tcPr>
            <w:tcW w:type="dxa" w:w="851"/>
            <w:vAlign w:val="center"/>
          </w:tcPr>
          <w:p>
            <w:pPr>
              <w:keepNext/>
              <w:spacing w:before="60" w:after="60"/>
              <w:jc w:val="right"/>
            </w:pPr>
            <w:r>
              <w:rPr>
                <w:rFonts w:ascii="Calibri" w:hAnsi="Calibri"/>
                <w:color w:val="1E293B"/>
                <w:sz w:val="20"/>
              </w:rPr>
              <w:t>300,000,000</w:t>
            </w:r>
          </w:p>
        </w:tc>
      </w:tr>
      <w:tr>
        <w:trPr>
          <w:cantSplit/>
        </w:trPr>
        <w:tc>
          <w:tcPr>
            <w:tcW w:type="dxa" w:w="851"/>
            <w:vAlign w:val="center"/>
            <w:shd w:fill="F1F8F4"/>
          </w:tcPr>
          <w:p>
            <w:pPr>
              <w:keepNext/>
              <w:spacing w:before="60" w:after="60"/>
              <w:jc w:val="center"/>
            </w:pPr>
            <w:r>
              <w:rPr>
                <w:rFonts w:ascii="Calibri" w:hAnsi="Calibri"/>
                <w:color w:val="1E293B"/>
                <w:sz w:val="20"/>
              </w:rPr>
              <w:t>SH002</w:t>
            </w:r>
          </w:p>
        </w:tc>
        <w:tc>
          <w:tcPr>
            <w:tcW w:type="dxa" w:w="851"/>
            <w:vAlign w:val="center"/>
            <w:shd w:fill="F1F8F4"/>
          </w:tcPr>
          <w:p>
            <w:pPr>
              <w:keepNext/>
              <w:spacing w:before="60" w:after="60"/>
              <w:jc w:val="left"/>
            </w:pPr>
            <w:r>
              <w:rPr>
                <w:rFonts w:ascii="Calibri" w:hAnsi="Calibri"/>
                <w:color w:val="1E293B"/>
                <w:sz w:val="20"/>
              </w:rPr>
              <w:t>Sunrise Apartment</w:t>
            </w:r>
          </w:p>
        </w:tc>
        <w:tc>
          <w:tcPr>
            <w:tcW w:type="dxa" w:w="851"/>
            <w:vAlign w:val="center"/>
            <w:shd w:fill="F1F8F4"/>
          </w:tcPr>
          <w:p>
            <w:pPr>
              <w:keepNext/>
              <w:spacing w:before="60" w:after="60"/>
              <w:jc w:val="left"/>
            </w:pPr>
            <w:r>
              <w:rPr>
                <w:rFonts w:ascii="Calibri" w:hAnsi="Calibri"/>
                <w:color w:val="1E293B"/>
                <w:sz w:val="20"/>
              </w:rPr>
              <w:t>Căn hộ</w:t>
            </w:r>
          </w:p>
        </w:tc>
        <w:tc>
          <w:tcPr>
            <w:tcW w:type="dxa" w:w="851"/>
            <w:vAlign w:val="center"/>
            <w:shd w:fill="F1F8F4"/>
          </w:tcPr>
          <w:p>
            <w:pPr>
              <w:keepNext/>
              <w:spacing w:before="60" w:after="60"/>
              <w:jc w:val="right"/>
            </w:pPr>
            <w:r>
              <w:rPr>
                <w:rFonts w:ascii="Calibri" w:hAnsi="Calibri"/>
                <w:color w:val="1E293B"/>
                <w:sz w:val="20"/>
              </w:rPr>
              <w:t>3,200,000,000</w:t>
            </w:r>
          </w:p>
        </w:tc>
        <w:tc>
          <w:tcPr>
            <w:tcW w:type="dxa" w:w="851"/>
            <w:vAlign w:val="center"/>
            <w:shd w:fill="F1F8F4"/>
          </w:tcPr>
          <w:p>
            <w:pPr>
              <w:keepNext/>
              <w:spacing w:before="60" w:after="60"/>
              <w:jc w:val="right"/>
            </w:pPr>
            <w:r>
              <w:rPr>
                <w:rFonts w:ascii="Calibri" w:hAnsi="Calibri"/>
                <w:color w:val="1E293B"/>
                <w:sz w:val="20"/>
              </w:rPr>
              <w:t>3.0%</w:t>
            </w:r>
          </w:p>
        </w:tc>
        <w:tc>
          <w:tcPr>
            <w:tcW w:type="dxa" w:w="851"/>
            <w:vAlign w:val="center"/>
            <w:shd w:fill="F1F8F4"/>
          </w:tcPr>
          <w:p>
            <w:pPr>
              <w:keepNext/>
              <w:spacing w:before="60" w:after="60"/>
              <w:jc w:val="right"/>
            </w:pPr>
            <w:r>
              <w:rPr>
                <w:rFonts w:ascii="Calibri" w:hAnsi="Calibri"/>
                <w:color w:val="1E293B"/>
                <w:sz w:val="20"/>
              </w:rPr>
              <w:t>3,104,000,000</w:t>
            </w:r>
          </w:p>
        </w:tc>
        <w:tc>
          <w:tcPr>
            <w:tcW w:type="dxa" w:w="851"/>
            <w:vAlign w:val="center"/>
            <w:shd w:fill="F1F8F4"/>
          </w:tcPr>
          <w:p>
            <w:pPr>
              <w:keepNext/>
              <w:spacing w:before="60" w:after="60"/>
              <w:jc w:val="right"/>
            </w:pPr>
            <w:r>
              <w:rPr>
                <w:rFonts w:ascii="Calibri" w:hAnsi="Calibri"/>
                <w:color w:val="1E293B"/>
                <w:sz w:val="20"/>
              </w:rPr>
              <w:t>16,000,000</w:t>
            </w:r>
          </w:p>
        </w:tc>
        <w:tc>
          <w:tcPr>
            <w:tcW w:type="dxa" w:w="851"/>
            <w:vAlign w:val="center"/>
            <w:shd w:fill="F1F8F4"/>
          </w:tcPr>
          <w:p>
            <w:pPr>
              <w:keepNext/>
              <w:spacing w:before="60" w:after="60"/>
              <w:jc w:val="center"/>
            </w:pPr>
            <w:r>
              <w:rPr>
                <w:rFonts w:ascii="Calibri" w:hAnsi="Calibri"/>
                <w:color w:val="1E293B"/>
                <w:sz w:val="20"/>
              </w:rPr>
              <w:t>MG02</w:t>
            </w:r>
          </w:p>
        </w:tc>
        <w:tc>
          <w:tcPr>
            <w:tcW w:type="dxa" w:w="851"/>
            <w:vAlign w:val="center"/>
            <w:shd w:fill="F1F8F4"/>
          </w:tcPr>
          <w:p>
            <w:pPr>
              <w:keepNext/>
              <w:spacing w:before="60" w:after="60"/>
              <w:jc w:val="left"/>
            </w:pPr>
            <w:r>
              <w:rPr>
                <w:rFonts w:ascii="Calibri" w:hAnsi="Calibri"/>
                <w:color w:val="1E293B"/>
                <w:sz w:val="20"/>
              </w:rPr>
              <w:t>Trần Minh</w:t>
            </w:r>
          </w:p>
        </w:tc>
        <w:tc>
          <w:tcPr>
            <w:tcW w:type="dxa" w:w="851"/>
            <w:vAlign w:val="center"/>
            <w:shd w:fill="F1F8F4"/>
          </w:tcPr>
          <w:p>
            <w:pPr>
              <w:keepNext/>
              <w:spacing w:before="60" w:after="60"/>
              <w:jc w:val="right"/>
            </w:pPr>
            <w:r>
              <w:rPr>
                <w:rFonts w:ascii="Calibri" w:hAnsi="Calibri"/>
                <w:color w:val="1E293B"/>
                <w:sz w:val="20"/>
              </w:rPr>
              <w:t>1.5%</w:t>
            </w:r>
          </w:p>
        </w:tc>
        <w:tc>
          <w:tcPr>
            <w:tcW w:type="dxa" w:w="851"/>
            <w:vAlign w:val="center"/>
            <w:shd w:fill="F1F8F4"/>
          </w:tcPr>
          <w:p>
            <w:pPr>
              <w:keepNext/>
              <w:spacing w:before="60" w:after="60"/>
              <w:jc w:val="right"/>
            </w:pPr>
            <w:r>
              <w:rPr>
                <w:rFonts w:ascii="Calibri" w:hAnsi="Calibri"/>
                <w:color w:val="1E293B"/>
                <w:sz w:val="20"/>
              </w:rPr>
              <w:t>48,000,000</w:t>
            </w:r>
          </w:p>
        </w:tc>
      </w:tr>
      <w:tr>
        <w:trPr>
          <w:cantSplit/>
        </w:trPr>
        <w:tc>
          <w:tcPr>
            <w:tcW w:type="dxa" w:w="851"/>
            <w:vAlign w:val="center"/>
          </w:tcPr>
          <w:p>
            <w:pPr>
              <w:keepNext/>
              <w:spacing w:before="60" w:after="60"/>
              <w:jc w:val="center"/>
            </w:pPr>
            <w:r>
              <w:rPr>
                <w:rFonts w:ascii="Calibri" w:hAnsi="Calibri"/>
                <w:color w:val="1E293B"/>
                <w:sz w:val="20"/>
              </w:rPr>
              <w:t>SH003</w:t>
            </w:r>
          </w:p>
        </w:tc>
        <w:tc>
          <w:tcPr>
            <w:tcW w:type="dxa" w:w="851"/>
            <w:vAlign w:val="center"/>
          </w:tcPr>
          <w:p>
            <w:pPr>
              <w:keepNext/>
              <w:spacing w:before="60" w:after="60"/>
              <w:jc w:val="left"/>
            </w:pPr>
            <w:r>
              <w:rPr>
                <w:rFonts w:ascii="Calibri" w:hAnsi="Calibri"/>
                <w:color w:val="1E293B"/>
                <w:sz w:val="20"/>
              </w:rPr>
              <w:t>Green Park House</w:t>
            </w:r>
          </w:p>
        </w:tc>
        <w:tc>
          <w:tcPr>
            <w:tcW w:type="dxa" w:w="851"/>
            <w:vAlign w:val="center"/>
          </w:tcPr>
          <w:p>
            <w:pPr>
              <w:keepNext/>
              <w:spacing w:before="60" w:after="60"/>
              <w:jc w:val="left"/>
            </w:pPr>
            <w:r>
              <w:rPr>
                <w:rFonts w:ascii="Calibri" w:hAnsi="Calibri"/>
                <w:color w:val="1E293B"/>
                <w:sz w:val="20"/>
              </w:rPr>
              <w:t>Nhà phố</w:t>
            </w:r>
          </w:p>
        </w:tc>
        <w:tc>
          <w:tcPr>
            <w:tcW w:type="dxa" w:w="851"/>
            <w:vAlign w:val="center"/>
          </w:tcPr>
          <w:p>
            <w:pPr>
              <w:keepNext/>
              <w:spacing w:before="60" w:after="60"/>
              <w:jc w:val="right"/>
            </w:pPr>
            <w:r>
              <w:rPr>
                <w:rFonts w:ascii="Calibri" w:hAnsi="Calibri"/>
                <w:color w:val="1E293B"/>
                <w:sz w:val="20"/>
              </w:rPr>
              <w:t>6,800,000,000</w:t>
            </w:r>
          </w:p>
        </w:tc>
        <w:tc>
          <w:tcPr>
            <w:tcW w:type="dxa" w:w="851"/>
            <w:vAlign w:val="center"/>
          </w:tcPr>
          <w:p>
            <w:pPr>
              <w:keepNext/>
              <w:spacing w:before="60" w:after="60"/>
              <w:jc w:val="right"/>
            </w:pPr>
            <w:r>
              <w:rPr>
                <w:rFonts w:ascii="Calibri" w:hAnsi="Calibri"/>
                <w:color w:val="1E293B"/>
                <w:sz w:val="20"/>
              </w:rPr>
              <w:t>4.0%</w:t>
            </w:r>
          </w:p>
        </w:tc>
        <w:tc>
          <w:tcPr>
            <w:tcW w:type="dxa" w:w="851"/>
            <w:vAlign w:val="center"/>
          </w:tcPr>
          <w:p>
            <w:pPr>
              <w:keepNext/>
              <w:spacing w:before="60" w:after="60"/>
              <w:jc w:val="right"/>
            </w:pPr>
            <w:r>
              <w:rPr>
                <w:rFonts w:ascii="Calibri" w:hAnsi="Calibri"/>
                <w:color w:val="1E293B"/>
                <w:sz w:val="20"/>
              </w:rPr>
              <w:t>6,528,000,000</w:t>
            </w:r>
          </w:p>
        </w:tc>
        <w:tc>
          <w:tcPr>
            <w:tcW w:type="dxa" w:w="851"/>
            <w:vAlign w:val="center"/>
          </w:tcPr>
          <w:p>
            <w:pPr>
              <w:keepNext/>
              <w:spacing w:before="60" w:after="60"/>
              <w:jc w:val="right"/>
            </w:pPr>
            <w:r>
              <w:rPr>
                <w:rFonts w:ascii="Calibri" w:hAnsi="Calibri"/>
                <w:color w:val="1E293B"/>
                <w:sz w:val="20"/>
              </w:rPr>
              <w:t>30,600,000</w:t>
            </w:r>
          </w:p>
        </w:tc>
        <w:tc>
          <w:tcPr>
            <w:tcW w:type="dxa" w:w="851"/>
            <w:vAlign w:val="center"/>
          </w:tcPr>
          <w:p>
            <w:pPr>
              <w:keepNext/>
              <w:spacing w:before="60" w:after="60"/>
              <w:jc w:val="center"/>
            </w:pPr>
            <w:r>
              <w:rPr>
                <w:rFonts w:ascii="Calibri" w:hAnsi="Calibri"/>
                <w:color w:val="1E293B"/>
                <w:sz w:val="20"/>
              </w:rPr>
              <w:t>MG03</w:t>
            </w:r>
          </w:p>
        </w:tc>
        <w:tc>
          <w:tcPr>
            <w:tcW w:type="dxa" w:w="851"/>
            <w:vAlign w:val="center"/>
          </w:tcPr>
          <w:p>
            <w:pPr>
              <w:keepNext/>
              <w:spacing w:before="60" w:after="60"/>
              <w:jc w:val="left"/>
            </w:pPr>
            <w:r>
              <w:rPr>
                <w:rFonts w:ascii="Calibri" w:hAnsi="Calibri"/>
                <w:color w:val="1E293B"/>
                <w:sz w:val="20"/>
              </w:rPr>
              <w:t>Lê Hằng</w:t>
            </w:r>
          </w:p>
        </w:tc>
        <w:tc>
          <w:tcPr>
            <w:tcW w:type="dxa" w:w="851"/>
            <w:vAlign w:val="center"/>
          </w:tcPr>
          <w:p>
            <w:pPr>
              <w:keepNext/>
              <w:spacing w:before="60" w:after="60"/>
              <w:jc w:val="right"/>
            </w:pPr>
            <w:r>
              <w:rPr>
                <w:rFonts w:ascii="Calibri" w:hAnsi="Calibri"/>
                <w:color w:val="1E293B"/>
                <w:sz w:val="20"/>
              </w:rPr>
              <w:t>1.8%</w:t>
            </w:r>
          </w:p>
        </w:tc>
        <w:tc>
          <w:tcPr>
            <w:tcW w:type="dxa" w:w="851"/>
            <w:vAlign w:val="center"/>
          </w:tcPr>
          <w:p>
            <w:pPr>
              <w:keepNext/>
              <w:spacing w:before="60" w:after="60"/>
              <w:jc w:val="right"/>
            </w:pPr>
            <w:r>
              <w:rPr>
                <w:rFonts w:ascii="Calibri" w:hAnsi="Calibri"/>
                <w:color w:val="1E293B"/>
                <w:sz w:val="20"/>
              </w:rPr>
              <w:t>122,400,000</w:t>
            </w:r>
          </w:p>
        </w:tc>
      </w:tr>
      <w:tr>
        <w:trPr>
          <w:cantSplit/>
        </w:trPr>
        <w:tc>
          <w:tcPr>
            <w:tcW w:type="dxa" w:w="851"/>
            <w:vAlign w:val="center"/>
            <w:shd w:fill="F1F8F4"/>
          </w:tcPr>
          <w:p>
            <w:pPr>
              <w:keepNext/>
              <w:spacing w:before="60" w:after="60"/>
              <w:jc w:val="center"/>
            </w:pPr>
            <w:r>
              <w:rPr>
                <w:rFonts w:ascii="Calibri" w:hAnsi="Calibri"/>
                <w:color w:val="1E293B"/>
                <w:sz w:val="20"/>
              </w:rPr>
              <w:t>SH004</w:t>
            </w:r>
          </w:p>
        </w:tc>
        <w:tc>
          <w:tcPr>
            <w:tcW w:type="dxa" w:w="851"/>
            <w:vAlign w:val="center"/>
            <w:shd w:fill="F1F8F4"/>
          </w:tcPr>
          <w:p>
            <w:pPr>
              <w:keepNext/>
              <w:spacing w:before="60" w:after="60"/>
              <w:jc w:val="left"/>
            </w:pPr>
            <w:r>
              <w:rPr>
                <w:rFonts w:ascii="Calibri" w:hAnsi="Calibri"/>
                <w:color w:val="1E293B"/>
                <w:sz w:val="20"/>
              </w:rPr>
              <w:t>Skyline Apartment</w:t>
            </w:r>
          </w:p>
        </w:tc>
        <w:tc>
          <w:tcPr>
            <w:tcW w:type="dxa" w:w="851"/>
            <w:vAlign w:val="center"/>
            <w:shd w:fill="F1F8F4"/>
          </w:tcPr>
          <w:p>
            <w:pPr>
              <w:keepNext/>
              <w:spacing w:before="60" w:after="60"/>
              <w:jc w:val="left"/>
            </w:pPr>
            <w:r>
              <w:rPr>
                <w:rFonts w:ascii="Calibri" w:hAnsi="Calibri"/>
                <w:color w:val="1E293B"/>
                <w:sz w:val="20"/>
              </w:rPr>
              <w:t>Căn hộ</w:t>
            </w:r>
          </w:p>
        </w:tc>
        <w:tc>
          <w:tcPr>
            <w:tcW w:type="dxa" w:w="851"/>
            <w:vAlign w:val="center"/>
            <w:shd w:fill="F1F8F4"/>
          </w:tcPr>
          <w:p>
            <w:pPr>
              <w:keepNext/>
              <w:spacing w:before="60" w:after="60"/>
              <w:jc w:val="right"/>
            </w:pPr>
            <w:r>
              <w:rPr>
                <w:rFonts w:ascii="Calibri" w:hAnsi="Calibri"/>
                <w:color w:val="1E293B"/>
                <w:sz w:val="20"/>
              </w:rPr>
              <w:t>2,650,000,000</w:t>
            </w:r>
          </w:p>
        </w:tc>
        <w:tc>
          <w:tcPr>
            <w:tcW w:type="dxa" w:w="851"/>
            <w:vAlign w:val="center"/>
            <w:shd w:fill="F1F8F4"/>
          </w:tcPr>
          <w:p>
            <w:pPr>
              <w:keepNext/>
              <w:spacing w:before="60" w:after="60"/>
              <w:jc w:val="right"/>
            </w:pPr>
            <w:r>
              <w:rPr>
                <w:rFonts w:ascii="Calibri" w:hAnsi="Calibri"/>
                <w:color w:val="1E293B"/>
                <w:sz w:val="20"/>
              </w:rPr>
              <w:t>2.0%</w:t>
            </w:r>
          </w:p>
        </w:tc>
        <w:tc>
          <w:tcPr>
            <w:tcW w:type="dxa" w:w="851"/>
            <w:vAlign w:val="center"/>
            <w:shd w:fill="F1F8F4"/>
          </w:tcPr>
          <w:p>
            <w:pPr>
              <w:keepNext/>
              <w:spacing w:before="60" w:after="60"/>
              <w:jc w:val="right"/>
            </w:pPr>
            <w:r>
              <w:rPr>
                <w:rFonts w:ascii="Calibri" w:hAnsi="Calibri"/>
                <w:color w:val="1E293B"/>
                <w:sz w:val="20"/>
              </w:rPr>
              <w:t>2,597,000,000</w:t>
            </w:r>
          </w:p>
        </w:tc>
        <w:tc>
          <w:tcPr>
            <w:tcW w:type="dxa" w:w="851"/>
            <w:vAlign w:val="center"/>
            <w:shd w:fill="F1F8F4"/>
          </w:tcPr>
          <w:p>
            <w:pPr>
              <w:keepNext/>
              <w:spacing w:before="60" w:after="60"/>
              <w:jc w:val="right"/>
            </w:pPr>
            <w:r>
              <w:rPr>
                <w:rFonts w:ascii="Calibri" w:hAnsi="Calibri"/>
                <w:color w:val="1E293B"/>
                <w:sz w:val="20"/>
              </w:rPr>
              <w:t>13,250,000</w:t>
            </w:r>
          </w:p>
        </w:tc>
        <w:tc>
          <w:tcPr>
            <w:tcW w:type="dxa" w:w="851"/>
            <w:vAlign w:val="center"/>
            <w:shd w:fill="F1F8F4"/>
          </w:tcPr>
          <w:p>
            <w:pPr>
              <w:keepNext/>
              <w:spacing w:before="60" w:after="60"/>
              <w:jc w:val="center"/>
            </w:pPr>
            <w:r>
              <w:rPr>
                <w:rFonts w:ascii="Calibri" w:hAnsi="Calibri"/>
                <w:color w:val="1E293B"/>
                <w:sz w:val="20"/>
              </w:rPr>
              <w:t>MG02</w:t>
            </w:r>
          </w:p>
        </w:tc>
        <w:tc>
          <w:tcPr>
            <w:tcW w:type="dxa" w:w="851"/>
            <w:vAlign w:val="center"/>
            <w:shd w:fill="F1F8F4"/>
          </w:tcPr>
          <w:p>
            <w:pPr>
              <w:keepNext/>
              <w:spacing w:before="60" w:after="60"/>
              <w:jc w:val="left"/>
            </w:pPr>
            <w:r>
              <w:rPr>
                <w:rFonts w:ascii="Calibri" w:hAnsi="Calibri"/>
                <w:color w:val="1E293B"/>
                <w:sz w:val="20"/>
              </w:rPr>
              <w:t>Trần Minh</w:t>
            </w:r>
          </w:p>
        </w:tc>
        <w:tc>
          <w:tcPr>
            <w:tcW w:type="dxa" w:w="851"/>
            <w:vAlign w:val="center"/>
            <w:shd w:fill="F1F8F4"/>
          </w:tcPr>
          <w:p>
            <w:pPr>
              <w:keepNext/>
              <w:spacing w:before="60" w:after="60"/>
              <w:jc w:val="right"/>
            </w:pPr>
            <w:r>
              <w:rPr>
                <w:rFonts w:ascii="Calibri" w:hAnsi="Calibri"/>
                <w:color w:val="1E293B"/>
                <w:sz w:val="20"/>
              </w:rPr>
              <w:t>1.5%</w:t>
            </w:r>
          </w:p>
        </w:tc>
        <w:tc>
          <w:tcPr>
            <w:tcW w:type="dxa" w:w="851"/>
            <w:vAlign w:val="center"/>
            <w:shd w:fill="F1F8F4"/>
          </w:tcPr>
          <w:p>
            <w:pPr>
              <w:keepNext/>
              <w:spacing w:before="60" w:after="60"/>
              <w:jc w:val="right"/>
            </w:pPr>
            <w:r>
              <w:rPr>
                <w:rFonts w:ascii="Calibri" w:hAnsi="Calibri"/>
                <w:color w:val="1E293B"/>
                <w:sz w:val="20"/>
              </w:rPr>
              <w:t>39,750,000</w:t>
            </w:r>
          </w:p>
        </w:tc>
      </w:tr>
      <w:tr>
        <w:trPr>
          <w:cantSplit/>
        </w:trPr>
        <w:tc>
          <w:tcPr>
            <w:tcW w:type="dxa" w:w="851"/>
            <w:vAlign w:val="center"/>
          </w:tcPr>
          <w:p>
            <w:pPr>
              <w:keepNext/>
              <w:spacing w:before="60" w:after="60"/>
              <w:jc w:val="center"/>
            </w:pPr>
            <w:r>
              <w:rPr>
                <w:rFonts w:ascii="Calibri" w:hAnsi="Calibri"/>
                <w:color w:val="1E293B"/>
                <w:sz w:val="20"/>
              </w:rPr>
              <w:t>SH005</w:t>
            </w:r>
          </w:p>
        </w:tc>
        <w:tc>
          <w:tcPr>
            <w:tcW w:type="dxa" w:w="851"/>
            <w:vAlign w:val="center"/>
          </w:tcPr>
          <w:p>
            <w:pPr>
              <w:keepNext/>
              <w:spacing w:before="60" w:after="60"/>
              <w:jc w:val="left"/>
            </w:pPr>
            <w:r>
              <w:rPr>
                <w:rFonts w:ascii="Calibri" w:hAnsi="Calibri"/>
                <w:color w:val="1E293B"/>
                <w:sz w:val="20"/>
              </w:rPr>
              <w:t>Ocean View Villa</w:t>
            </w:r>
          </w:p>
        </w:tc>
        <w:tc>
          <w:tcPr>
            <w:tcW w:type="dxa" w:w="851"/>
            <w:vAlign w:val="center"/>
          </w:tcPr>
          <w:p>
            <w:pPr>
              <w:keepNext/>
              <w:spacing w:before="60" w:after="60"/>
              <w:jc w:val="left"/>
            </w:pPr>
            <w:r>
              <w:rPr>
                <w:rFonts w:ascii="Calibri" w:hAnsi="Calibri"/>
                <w:color w:val="1E293B"/>
                <w:sz w:val="20"/>
              </w:rPr>
              <w:t>Biệt thự</w:t>
            </w:r>
          </w:p>
        </w:tc>
        <w:tc>
          <w:tcPr>
            <w:tcW w:type="dxa" w:w="851"/>
            <w:vAlign w:val="center"/>
          </w:tcPr>
          <w:p>
            <w:pPr>
              <w:keepNext/>
              <w:spacing w:before="60" w:after="60"/>
              <w:jc w:val="right"/>
            </w:pPr>
            <w:r>
              <w:rPr>
                <w:rFonts w:ascii="Calibri" w:hAnsi="Calibri"/>
                <w:color w:val="1E293B"/>
                <w:sz w:val="20"/>
              </w:rPr>
              <w:t>18,500,000,000</w:t>
            </w:r>
          </w:p>
        </w:tc>
        <w:tc>
          <w:tcPr>
            <w:tcW w:type="dxa" w:w="851"/>
            <w:vAlign w:val="center"/>
          </w:tcPr>
          <w:p>
            <w:pPr>
              <w:keepNext/>
              <w:spacing w:before="60" w:after="60"/>
              <w:jc w:val="right"/>
            </w:pPr>
            <w:r>
              <w:rPr>
                <w:rFonts w:ascii="Calibri" w:hAnsi="Calibri"/>
                <w:color w:val="1E293B"/>
                <w:sz w:val="20"/>
              </w:rPr>
              <w:t>5.0%</w:t>
            </w:r>
          </w:p>
        </w:tc>
        <w:tc>
          <w:tcPr>
            <w:tcW w:type="dxa" w:w="851"/>
            <w:vAlign w:val="center"/>
          </w:tcPr>
          <w:p>
            <w:pPr>
              <w:keepNext/>
              <w:spacing w:before="60" w:after="60"/>
              <w:jc w:val="right"/>
            </w:pPr>
            <w:r>
              <w:rPr>
                <w:rFonts w:ascii="Calibri" w:hAnsi="Calibri"/>
                <w:color w:val="1E293B"/>
                <w:sz w:val="20"/>
              </w:rPr>
              <w:t>17,575,000,000</w:t>
            </w:r>
          </w:p>
        </w:tc>
        <w:tc>
          <w:tcPr>
            <w:tcW w:type="dxa" w:w="851"/>
            <w:vAlign w:val="center"/>
          </w:tcPr>
          <w:p>
            <w:pPr>
              <w:keepNext/>
              <w:spacing w:before="60" w:after="60"/>
              <w:jc w:val="right"/>
            </w:pPr>
            <w:r>
              <w:rPr>
                <w:rFonts w:ascii="Calibri" w:hAnsi="Calibri"/>
                <w:color w:val="1E293B"/>
                <w:sz w:val="20"/>
              </w:rPr>
              <w:t>74,000,000</w:t>
            </w:r>
          </w:p>
        </w:tc>
        <w:tc>
          <w:tcPr>
            <w:tcW w:type="dxa" w:w="851"/>
            <w:vAlign w:val="center"/>
          </w:tcPr>
          <w:p>
            <w:pPr>
              <w:keepNext/>
              <w:spacing w:before="60" w:after="60"/>
              <w:jc w:val="center"/>
            </w:pPr>
            <w:r>
              <w:rPr>
                <w:rFonts w:ascii="Calibri" w:hAnsi="Calibri"/>
                <w:color w:val="1E293B"/>
                <w:sz w:val="20"/>
              </w:rPr>
              <w:t>MG01</w:t>
            </w:r>
          </w:p>
        </w:tc>
        <w:tc>
          <w:tcPr>
            <w:tcW w:type="dxa" w:w="851"/>
            <w:vAlign w:val="center"/>
          </w:tcPr>
          <w:p>
            <w:pPr>
              <w:keepNext/>
              <w:spacing w:before="60" w:after="60"/>
              <w:jc w:val="left"/>
            </w:pPr>
            <w:r>
              <w:rPr>
                <w:rFonts w:ascii="Calibri" w:hAnsi="Calibri"/>
                <w:color w:val="1E293B"/>
                <w:sz w:val="20"/>
              </w:rPr>
              <w:t>Nguyễn An</w:t>
            </w:r>
          </w:p>
        </w:tc>
        <w:tc>
          <w:tcPr>
            <w:tcW w:type="dxa" w:w="851"/>
            <w:vAlign w:val="center"/>
          </w:tcPr>
          <w:p>
            <w:pPr>
              <w:keepNext/>
              <w:spacing w:before="60" w:after="60"/>
              <w:jc w:val="right"/>
            </w:pPr>
            <w:r>
              <w:rPr>
                <w:rFonts w:ascii="Calibri" w:hAnsi="Calibri"/>
                <w:color w:val="1E293B"/>
                <w:sz w:val="20"/>
              </w:rPr>
              <w:t>2.0%</w:t>
            </w:r>
          </w:p>
        </w:tc>
        <w:tc>
          <w:tcPr>
            <w:tcW w:type="dxa" w:w="851"/>
            <w:vAlign w:val="center"/>
          </w:tcPr>
          <w:p>
            <w:pPr>
              <w:keepNext/>
              <w:spacing w:before="60" w:after="60"/>
              <w:jc w:val="right"/>
            </w:pPr>
            <w:r>
              <w:rPr>
                <w:rFonts w:ascii="Calibri" w:hAnsi="Calibri"/>
                <w:color w:val="1E293B"/>
                <w:sz w:val="20"/>
              </w:rPr>
              <w:t>370,000,000</w:t>
            </w:r>
          </w:p>
        </w:tc>
      </w:tr>
      <w:tr>
        <w:trPr>
          <w:cantSplit/>
        </w:trPr>
        <w:tc>
          <w:tcPr>
            <w:tcW w:type="dxa" w:w="851"/>
            <w:vAlign w:val="center"/>
            <w:shd w:fill="F1F8F4"/>
          </w:tcPr>
          <w:p>
            <w:pPr>
              <w:spacing w:before="60" w:after="60"/>
              <w:jc w:val="center"/>
            </w:pPr>
            <w:r>
              <w:rPr>
                <w:rFonts w:ascii="Calibri" w:hAnsi="Calibri"/>
                <w:color w:val="1E293B"/>
                <w:sz w:val="20"/>
              </w:rPr>
              <w:t>SH006</w:t>
            </w:r>
          </w:p>
        </w:tc>
        <w:tc>
          <w:tcPr>
            <w:tcW w:type="dxa" w:w="851"/>
            <w:vAlign w:val="center"/>
            <w:shd w:fill="F1F8F4"/>
          </w:tcPr>
          <w:p>
            <w:pPr>
              <w:spacing w:before="60" w:after="60"/>
              <w:jc w:val="left"/>
            </w:pPr>
            <w:r>
              <w:rPr>
                <w:rFonts w:ascii="Calibri" w:hAnsi="Calibri"/>
                <w:color w:val="1E293B"/>
                <w:sz w:val="20"/>
              </w:rPr>
              <w:t>Central House</w:t>
            </w:r>
          </w:p>
        </w:tc>
        <w:tc>
          <w:tcPr>
            <w:tcW w:type="dxa" w:w="851"/>
            <w:vAlign w:val="center"/>
            <w:shd w:fill="F1F8F4"/>
          </w:tcPr>
          <w:p>
            <w:pPr>
              <w:spacing w:before="60" w:after="60"/>
              <w:jc w:val="left"/>
            </w:pPr>
            <w:r>
              <w:rPr>
                <w:rFonts w:ascii="Calibri" w:hAnsi="Calibri"/>
                <w:color w:val="1E293B"/>
                <w:sz w:val="20"/>
              </w:rPr>
              <w:t>Nhà phố</w:t>
            </w:r>
          </w:p>
        </w:tc>
        <w:tc>
          <w:tcPr>
            <w:tcW w:type="dxa" w:w="851"/>
            <w:vAlign w:val="center"/>
            <w:shd w:fill="F1F8F4"/>
          </w:tcPr>
          <w:p>
            <w:pPr>
              <w:spacing w:before="60" w:after="60"/>
              <w:jc w:val="right"/>
            </w:pPr>
            <w:r>
              <w:rPr>
                <w:rFonts w:ascii="Calibri" w:hAnsi="Calibri"/>
                <w:color w:val="1E293B"/>
                <w:sz w:val="20"/>
              </w:rPr>
              <w:t>5,200,000,000</w:t>
            </w:r>
          </w:p>
        </w:tc>
        <w:tc>
          <w:tcPr>
            <w:tcW w:type="dxa" w:w="851"/>
            <w:vAlign w:val="center"/>
            <w:shd w:fill="F1F8F4"/>
          </w:tcPr>
          <w:p>
            <w:pPr>
              <w:spacing w:before="60" w:after="60"/>
              <w:jc w:val="right"/>
            </w:pPr>
            <w:r>
              <w:rPr>
                <w:rFonts w:ascii="Calibri" w:hAnsi="Calibri"/>
                <w:color w:val="1E293B"/>
                <w:sz w:val="20"/>
              </w:rPr>
              <w:t>3.5%</w:t>
            </w:r>
          </w:p>
        </w:tc>
        <w:tc>
          <w:tcPr>
            <w:tcW w:type="dxa" w:w="851"/>
            <w:vAlign w:val="center"/>
            <w:shd w:fill="F1F8F4"/>
          </w:tcPr>
          <w:p>
            <w:pPr>
              <w:spacing w:before="60" w:after="60"/>
              <w:jc w:val="right"/>
            </w:pPr>
            <w:r>
              <w:rPr>
                <w:rFonts w:ascii="Calibri" w:hAnsi="Calibri"/>
                <w:color w:val="1E293B"/>
                <w:sz w:val="20"/>
              </w:rPr>
              <w:t>5,018,000,000</w:t>
            </w:r>
          </w:p>
        </w:tc>
        <w:tc>
          <w:tcPr>
            <w:tcW w:type="dxa" w:w="851"/>
            <w:vAlign w:val="center"/>
            <w:shd w:fill="F1F8F4"/>
          </w:tcPr>
          <w:p>
            <w:pPr>
              <w:spacing w:before="60" w:after="60"/>
              <w:jc w:val="right"/>
            </w:pPr>
            <w:r>
              <w:rPr>
                <w:rFonts w:ascii="Calibri" w:hAnsi="Calibri"/>
                <w:color w:val="1E293B"/>
                <w:sz w:val="20"/>
              </w:rPr>
              <w:t>23,400,000</w:t>
            </w:r>
          </w:p>
        </w:tc>
        <w:tc>
          <w:tcPr>
            <w:tcW w:type="dxa" w:w="851"/>
            <w:vAlign w:val="center"/>
            <w:shd w:fill="F1F8F4"/>
          </w:tcPr>
          <w:p>
            <w:pPr>
              <w:spacing w:before="60" w:after="60"/>
              <w:jc w:val="center"/>
            </w:pPr>
            <w:r>
              <w:rPr>
                <w:rFonts w:ascii="Calibri" w:hAnsi="Calibri"/>
                <w:color w:val="1E293B"/>
                <w:sz w:val="20"/>
              </w:rPr>
              <w:t>MG04</w:t>
            </w:r>
          </w:p>
        </w:tc>
        <w:tc>
          <w:tcPr>
            <w:tcW w:type="dxa" w:w="851"/>
            <w:vAlign w:val="center"/>
            <w:shd w:fill="F1F8F4"/>
          </w:tcPr>
          <w:p>
            <w:pPr>
              <w:spacing w:before="60" w:after="60"/>
              <w:jc w:val="left"/>
            </w:pPr>
            <w:r>
              <w:rPr>
                <w:rFonts w:ascii="Calibri" w:hAnsi="Calibri"/>
                <w:color w:val="1E293B"/>
                <w:sz w:val="20"/>
              </w:rPr>
              <w:t>Phạm Nam</w:t>
            </w:r>
          </w:p>
        </w:tc>
        <w:tc>
          <w:tcPr>
            <w:tcW w:type="dxa" w:w="851"/>
            <w:vAlign w:val="center"/>
            <w:shd w:fill="F1F8F4"/>
          </w:tcPr>
          <w:p>
            <w:pPr>
              <w:spacing w:before="60" w:after="60"/>
              <w:jc w:val="right"/>
            </w:pPr>
            <w:r>
              <w:rPr>
                <w:rFonts w:ascii="Calibri" w:hAnsi="Calibri"/>
                <w:color w:val="1E293B"/>
                <w:sz w:val="20"/>
              </w:rPr>
              <w:t>1.6%</w:t>
            </w:r>
          </w:p>
        </w:tc>
        <w:tc>
          <w:tcPr>
            <w:tcW w:type="dxa" w:w="851"/>
            <w:vAlign w:val="center"/>
            <w:shd w:fill="F1F8F4"/>
          </w:tcPr>
          <w:p>
            <w:pPr>
              <w:spacing w:before="60" w:after="60"/>
              <w:jc w:val="right"/>
            </w:pPr>
            <w:r>
              <w:rPr>
                <w:rFonts w:ascii="Calibri" w:hAnsi="Calibri"/>
                <w:color w:val="1E293B"/>
                <w:sz w:val="20"/>
              </w:rPr>
              <w:t>83,200,000</w:t>
            </w:r>
          </w:p>
        </w:tc>
      </w:tr>
    </w:tbl>
    <w:p>
      <w:pPr>
        <w:spacing w:before="0" w:after="80"/>
      </w:pPr>
    </w:p>
    <w:p>
      <w:pPr>
        <w:spacing w:line="276" w:lineRule="auto" w:after="120"/>
      </w:pPr>
      <w:r>
        <w:rPr>
          <w:rFonts w:ascii="Calibri" w:hAnsi="Calibri"/>
          <w:color w:val="1E293B"/>
          <w:sz w:val="22"/>
        </w:rPr>
        <w:t>Bảng tra cứu môi giới (dùng làm bảng phụ cho hàm VLOOKUP):</w:t>
      </w:r>
    </w:p>
    <w:tbl>
      <w:tblPr>
        <w:tblW w:type="auto" w:w="0"/>
        <w:jc w:val="center"/>
        <w:tblLook w:firstColumn="1" w:firstRow="1" w:lastColumn="0" w:lastRow="0" w:noHBand="0" w:noVBand="1" w:val="04A0"/>
      </w:tblPr>
      <w:tblGrid>
        <w:gridCol w:w="3120"/>
        <w:gridCol w:w="3120"/>
        <w:gridCol w:w="3120"/>
      </w:tblGrid>
      <w:tr>
        <w:trPr>
          <w:tblHeader/>
        </w:trPr>
        <w:tc>
          <w:tcPr>
            <w:tcW w:type="dxa" w:w="3120"/>
            <w:vAlign w:val="center"/>
            <w:shd w:fill="1E6B45"/>
          </w:tcPr>
          <w:p>
            <w:pPr>
              <w:keepNext/>
              <w:spacing w:before="80" w:after="80"/>
              <w:jc w:val="center"/>
            </w:pPr>
            <w:r>
              <w:rPr>
                <w:rFonts w:ascii="Calibri" w:hAnsi="Calibri"/>
                <w:b/>
                <w:color w:val="FFFFFF"/>
                <w:sz w:val="21"/>
              </w:rPr>
              <w:t>Mã MG</w:t>
            </w:r>
          </w:p>
        </w:tc>
        <w:tc>
          <w:tcPr>
            <w:tcW w:type="dxa" w:w="3120"/>
            <w:vAlign w:val="center"/>
            <w:shd w:fill="1E6B45"/>
          </w:tcPr>
          <w:p>
            <w:pPr>
              <w:keepNext/>
              <w:spacing w:before="80" w:after="80"/>
              <w:jc w:val="center"/>
            </w:pPr>
            <w:r>
              <w:rPr>
                <w:rFonts w:ascii="Calibri" w:hAnsi="Calibri"/>
                <w:b/>
                <w:color w:val="FFFFFF"/>
                <w:sz w:val="21"/>
              </w:rPr>
              <w:t>Tên môi giới</w:t>
            </w:r>
          </w:p>
        </w:tc>
        <w:tc>
          <w:tcPr>
            <w:tcW w:type="dxa" w:w="3120"/>
            <w:vAlign w:val="center"/>
            <w:shd w:fill="1E6B45"/>
          </w:tcPr>
          <w:p>
            <w:pPr>
              <w:keepNext/>
              <w:spacing w:before="80" w:after="80"/>
              <w:jc w:val="center"/>
            </w:pPr>
            <w:r>
              <w:rPr>
                <w:rFonts w:ascii="Calibri" w:hAnsi="Calibri"/>
                <w:b/>
                <w:color w:val="FFFFFF"/>
                <w:sz w:val="21"/>
              </w:rPr>
              <w:t>Tỷ lệ hoa hồng</w:t>
            </w:r>
          </w:p>
        </w:tc>
      </w:tr>
      <w:tr>
        <w:trPr>
          <w:cantSplit/>
        </w:trPr>
        <w:tc>
          <w:tcPr>
            <w:tcW w:type="dxa" w:w="3120"/>
            <w:vAlign w:val="center"/>
          </w:tcPr>
          <w:p>
            <w:pPr>
              <w:keepNext/>
              <w:spacing w:before="60" w:after="60"/>
              <w:jc w:val="center"/>
            </w:pPr>
            <w:r>
              <w:rPr>
                <w:rFonts w:ascii="Calibri" w:hAnsi="Calibri"/>
                <w:color w:val="1E293B"/>
                <w:sz w:val="20"/>
              </w:rPr>
              <w:t>MG01</w:t>
            </w:r>
          </w:p>
        </w:tc>
        <w:tc>
          <w:tcPr>
            <w:tcW w:type="dxa" w:w="3120"/>
            <w:vAlign w:val="center"/>
          </w:tcPr>
          <w:p>
            <w:pPr>
              <w:keepNext/>
              <w:spacing w:before="60" w:after="60"/>
              <w:jc w:val="left"/>
            </w:pPr>
            <w:r>
              <w:rPr>
                <w:rFonts w:ascii="Calibri" w:hAnsi="Calibri"/>
                <w:color w:val="1E293B"/>
                <w:sz w:val="20"/>
              </w:rPr>
              <w:t>Nguyễn An</w:t>
            </w:r>
          </w:p>
        </w:tc>
        <w:tc>
          <w:tcPr>
            <w:tcW w:type="dxa" w:w="3120"/>
            <w:vAlign w:val="center"/>
          </w:tcPr>
          <w:p>
            <w:pPr>
              <w:keepNext/>
              <w:spacing w:before="60" w:after="60"/>
              <w:jc w:val="right"/>
            </w:pPr>
            <w:r>
              <w:rPr>
                <w:rFonts w:ascii="Calibri" w:hAnsi="Calibri"/>
                <w:color w:val="1E293B"/>
                <w:sz w:val="20"/>
              </w:rPr>
              <w:t>2.0%</w:t>
            </w:r>
          </w:p>
        </w:tc>
      </w:tr>
      <w:tr>
        <w:trPr>
          <w:cantSplit/>
        </w:trPr>
        <w:tc>
          <w:tcPr>
            <w:tcW w:type="dxa" w:w="3120"/>
            <w:vAlign w:val="center"/>
            <w:shd w:fill="F1F8F4"/>
          </w:tcPr>
          <w:p>
            <w:pPr>
              <w:keepNext/>
              <w:spacing w:before="60" w:after="60"/>
              <w:jc w:val="center"/>
            </w:pPr>
            <w:r>
              <w:rPr>
                <w:rFonts w:ascii="Calibri" w:hAnsi="Calibri"/>
                <w:color w:val="1E293B"/>
                <w:sz w:val="20"/>
              </w:rPr>
              <w:t>MG02</w:t>
            </w:r>
          </w:p>
        </w:tc>
        <w:tc>
          <w:tcPr>
            <w:tcW w:type="dxa" w:w="3120"/>
            <w:vAlign w:val="center"/>
            <w:shd w:fill="F1F8F4"/>
          </w:tcPr>
          <w:p>
            <w:pPr>
              <w:keepNext/>
              <w:spacing w:before="60" w:after="60"/>
              <w:jc w:val="left"/>
            </w:pPr>
            <w:r>
              <w:rPr>
                <w:rFonts w:ascii="Calibri" w:hAnsi="Calibri"/>
                <w:color w:val="1E293B"/>
                <w:sz w:val="20"/>
              </w:rPr>
              <w:t>Trần Minh</w:t>
            </w:r>
          </w:p>
        </w:tc>
        <w:tc>
          <w:tcPr>
            <w:tcW w:type="dxa" w:w="3120"/>
            <w:vAlign w:val="center"/>
            <w:shd w:fill="F1F8F4"/>
          </w:tcPr>
          <w:p>
            <w:pPr>
              <w:keepNext/>
              <w:spacing w:before="60" w:after="60"/>
              <w:jc w:val="right"/>
            </w:pPr>
            <w:r>
              <w:rPr>
                <w:rFonts w:ascii="Calibri" w:hAnsi="Calibri"/>
                <w:color w:val="1E293B"/>
                <w:sz w:val="20"/>
              </w:rPr>
              <w:t>1.5%</w:t>
            </w:r>
          </w:p>
        </w:tc>
      </w:tr>
      <w:tr>
        <w:trPr>
          <w:cantSplit/>
        </w:trPr>
        <w:tc>
          <w:tcPr>
            <w:tcW w:type="dxa" w:w="3120"/>
            <w:vAlign w:val="center"/>
          </w:tcPr>
          <w:p>
            <w:pPr>
              <w:keepNext/>
              <w:spacing w:before="60" w:after="60"/>
              <w:jc w:val="center"/>
            </w:pPr>
            <w:r>
              <w:rPr>
                <w:rFonts w:ascii="Calibri" w:hAnsi="Calibri"/>
                <w:color w:val="1E293B"/>
                <w:sz w:val="20"/>
              </w:rPr>
              <w:t>MG03</w:t>
            </w:r>
          </w:p>
        </w:tc>
        <w:tc>
          <w:tcPr>
            <w:tcW w:type="dxa" w:w="3120"/>
            <w:vAlign w:val="center"/>
          </w:tcPr>
          <w:p>
            <w:pPr>
              <w:keepNext/>
              <w:spacing w:before="60" w:after="60"/>
              <w:jc w:val="left"/>
            </w:pPr>
            <w:r>
              <w:rPr>
                <w:rFonts w:ascii="Calibri" w:hAnsi="Calibri"/>
                <w:color w:val="1E293B"/>
                <w:sz w:val="20"/>
              </w:rPr>
              <w:t>Lê Hằng</w:t>
            </w:r>
          </w:p>
        </w:tc>
        <w:tc>
          <w:tcPr>
            <w:tcW w:type="dxa" w:w="3120"/>
            <w:vAlign w:val="center"/>
          </w:tcPr>
          <w:p>
            <w:pPr>
              <w:keepNext/>
              <w:spacing w:before="60" w:after="60"/>
              <w:jc w:val="right"/>
            </w:pPr>
            <w:r>
              <w:rPr>
                <w:rFonts w:ascii="Calibri" w:hAnsi="Calibri"/>
                <w:color w:val="1E293B"/>
                <w:sz w:val="20"/>
              </w:rPr>
              <w:t>1.8%</w:t>
            </w:r>
          </w:p>
        </w:tc>
      </w:tr>
      <w:tr>
        <w:trPr>
          <w:cantSplit/>
        </w:trPr>
        <w:tc>
          <w:tcPr>
            <w:tcW w:type="dxa" w:w="3120"/>
            <w:vAlign w:val="center"/>
            <w:shd w:fill="F1F8F4"/>
          </w:tcPr>
          <w:p>
            <w:pPr>
              <w:spacing w:before="60" w:after="60"/>
              <w:jc w:val="center"/>
            </w:pPr>
            <w:r>
              <w:rPr>
                <w:rFonts w:ascii="Calibri" w:hAnsi="Calibri"/>
                <w:color w:val="1E293B"/>
                <w:sz w:val="20"/>
              </w:rPr>
              <w:t>MG04</w:t>
            </w:r>
          </w:p>
        </w:tc>
        <w:tc>
          <w:tcPr>
            <w:tcW w:type="dxa" w:w="3120"/>
            <w:vAlign w:val="center"/>
            <w:shd w:fill="F1F8F4"/>
          </w:tcPr>
          <w:p>
            <w:pPr>
              <w:spacing w:before="60" w:after="60"/>
              <w:jc w:val="left"/>
            </w:pPr>
            <w:r>
              <w:rPr>
                <w:rFonts w:ascii="Calibri" w:hAnsi="Calibri"/>
                <w:color w:val="1E293B"/>
                <w:sz w:val="20"/>
              </w:rPr>
              <w:t>Phạm Nam</w:t>
            </w:r>
          </w:p>
        </w:tc>
        <w:tc>
          <w:tcPr>
            <w:tcW w:type="dxa" w:w="3120"/>
            <w:vAlign w:val="center"/>
            <w:shd w:fill="F1F8F4"/>
          </w:tcPr>
          <w:p>
            <w:pPr>
              <w:spacing w:before="60" w:after="60"/>
              <w:jc w:val="right"/>
            </w:pPr>
            <w:r>
              <w:rPr>
                <w:rFonts w:ascii="Calibri" w:hAnsi="Calibri"/>
                <w:color w:val="1E293B"/>
                <w:sz w:val="20"/>
              </w:rPr>
              <w:t>1.6%</w:t>
            </w:r>
          </w:p>
        </w:tc>
      </w:tr>
    </w:tbl>
    <w:p>
      <w:pPr>
        <w:spacing w:before="0" w:after="80"/>
      </w:pPr>
    </w:p>
    <w:p>
      <w:pPr>
        <w:pStyle w:val="Heading1"/>
        <w:keepNext/>
      </w:pPr>
      <w:r>
        <w:rPr>
          <w:rFonts w:ascii="Calibri" w:hAnsi="Calibri"/>
          <w:b/>
          <w:color w:val="1E6B45"/>
          <w:sz w:val="30"/>
        </w:rPr>
        <w:t>PHẦN 3. KIỂM THỬ: CÁCH DÙNG DẤU $ ĐỂ SỬA LỖI TRÔI VÙNG DỮ LIỆU KHI KÉO CÔNG THỨC VLOOKUP</w:t>
      </w:r>
    </w:p>
    <w:p>
      <w:pPr>
        <w:pStyle w:val="Heading2"/>
        <w:keepNext/>
      </w:pPr>
      <w:r>
        <w:rPr>
          <w:rFonts w:ascii="Calibri" w:hAnsi="Calibri"/>
          <w:b/>
          <w:color w:val="0F4C81"/>
          <w:sz w:val="26"/>
        </w:rPr>
        <w:t>3.1. Nguyên nhân xảy ra lỗi trôi vùng dữ liệu khi kéo công thức</w:t>
      </w:r>
    </w:p>
    <w:p>
      <w:pPr>
        <w:spacing w:line="276" w:lineRule="auto" w:after="120"/>
      </w:pPr>
      <w:r>
        <w:rPr>
          <w:rFonts w:ascii="Calibri" w:hAnsi="Calibri"/>
          <w:color w:val="1E293B"/>
          <w:sz w:val="22"/>
        </w:rPr>
        <w:t>Trong Excel, mặc định các ô tham chiếu được hiểu là địa chỉ tương đối (Relative Reference - địa chỉ tự động thay đổi theo hướng sao chép công thức). Giả sử bảng tra cứu môi giới nằm cố định ở vùng H4:J7 và tại dòng thứ 2, chúng ta viết công thức chưa có dấu $ như sau:</w:t>
      </w:r>
    </w:p>
    <w:p>
      <w:pPr>
        <w:spacing w:line="276" w:lineRule="auto" w:after="120"/>
      </w:pPr>
      <w:r>
        <w:rPr>
          <w:rFonts w:ascii="Calibri" w:hAnsi="Calibri"/>
          <w:b/>
          <w:color w:val="1E293B"/>
          <w:sz w:val="22"/>
        </w:rPr>
        <w:t xml:space="preserve">Công thức chưa cố định vùng: </w:t>
      </w:r>
      <w:r>
        <w:rPr>
          <w:rFonts w:ascii="Calibri" w:hAnsi="Calibri"/>
          <w:color w:val="1E293B"/>
          <w:sz w:val="22"/>
        </w:rPr>
        <w:t>=VLOOKUP(E2, H4:J7, 3, FALSE)</w:t>
      </w:r>
    </w:p>
    <w:p>
      <w:pPr>
        <w:spacing w:line="276" w:lineRule="auto" w:after="120"/>
      </w:pPr>
      <w:r>
        <w:rPr>
          <w:rFonts w:ascii="Calibri" w:hAnsi="Calibri"/>
          <w:color w:val="1E293B"/>
          <w:sz w:val="22"/>
        </w:rPr>
        <w:t>Khi dùng chuột kéo (Fill Handle) công thức này từ dòng 2 xuống các dòng 3, 4, 5, 6, Excel sẽ tự động cộng thêm số dòng vào cả ô mã cần tìm lẫn bảng tra cứu:</w:t>
      </w:r>
    </w:p>
    <w:p>
      <w:pPr>
        <w:pStyle w:val="ListBullet"/>
        <w:spacing w:line="276" w:lineRule="auto" w:before="20" w:after="80"/>
      </w:pPr>
      <w:r>
        <w:rPr>
          <w:rFonts w:ascii="Calibri" w:hAnsi="Calibri"/>
          <w:color w:val="1E293B"/>
          <w:sz w:val="22"/>
        </w:rPr>
        <w:t>Tại dòng 3: Công thức tự biến thành =VLOOKUP(E3, H5:J8, 3, FALSE) -&gt; Mất dòng H4:J4 (mất mã MG01).</w:t>
      </w:r>
    </w:p>
    <w:p>
      <w:pPr>
        <w:pStyle w:val="ListBullet"/>
        <w:spacing w:line="276" w:lineRule="auto" w:before="20" w:after="80"/>
      </w:pPr>
      <w:r>
        <w:rPr>
          <w:rFonts w:ascii="Calibri" w:hAnsi="Calibri"/>
          <w:color w:val="1E293B"/>
          <w:sz w:val="22"/>
        </w:rPr>
        <w:t>Tại dòng 4: Công thức tự biến thành =VLOOKUP(E4, H6:J9, 3, FALSE) -&gt; Mất tiếp dòng H5:J5 (mất mã MG02).</w:t>
      </w:r>
    </w:p>
    <w:p>
      <w:pPr>
        <w:pStyle w:val="ListBullet"/>
        <w:spacing w:line="276" w:lineRule="auto" w:before="20" w:after="80"/>
      </w:pPr>
      <w:r>
        <w:rPr>
          <w:rFonts w:ascii="Calibri" w:hAnsi="Calibri"/>
          <w:color w:val="1E293B"/>
          <w:sz w:val="22"/>
        </w:rPr>
        <w:t>Tại dòng 6 (căn Ocean View Villa có mã MG01 nằm ở dòng H4): Lúc này vùng tra cứu đã bị trôi xuống tận H8:J11 (vùng trống), Excel không tìm thấy mã MG01 nữa và báo lỗi #N/A (Not Available - không tìm thấy dữ liệu).</w:t>
      </w:r>
    </w:p>
    <w:p>
      <w:pPr>
        <w:pStyle w:val="Heading2"/>
        <w:keepNext/>
      </w:pPr>
      <w:r>
        <w:rPr>
          <w:rFonts w:ascii="Calibri" w:hAnsi="Calibri"/>
          <w:b/>
          <w:color w:val="0F4C81"/>
          <w:sz w:val="26"/>
        </w:rPr>
        <w:t>3.2. Cách dùng dấu $ (Dollar sign) để khóa cố định vùng tra cứu</w:t>
      </w:r>
    </w:p>
    <w:p>
      <w:pPr>
        <w:spacing w:line="276" w:lineRule="auto" w:after="120"/>
      </w:pPr>
      <w:r>
        <w:rPr>
          <w:rFonts w:ascii="Calibri" w:hAnsi="Calibri"/>
          <w:color w:val="1E293B"/>
          <w:sz w:val="22"/>
        </w:rPr>
        <w:t>Dấu $ trong Excel dùng để tạo địa chỉ tuyệt đối (Absolute Reference - khóa chặt tên cột hoặc số dòng không cho thay đổi khi sao chép công thức). Để sửa lỗi trôi bảng tra cứu, ta thêm dấu $ vào trước cả tên cột và số hàng của vùng bảng phụ (nhấn phím tắt F4 sau khi bôi đen vùng H4:J7):</w:t>
      </w:r>
    </w:p>
    <w:p>
      <w:pPr>
        <w:spacing w:line="276" w:lineRule="auto" w:after="120"/>
      </w:pPr>
      <w:r>
        <w:rPr>
          <w:rFonts w:ascii="Calibri" w:hAnsi="Calibri"/>
          <w:b/>
          <w:color w:val="1E293B"/>
          <w:sz w:val="22"/>
        </w:rPr>
        <w:t xml:space="preserve">Công thức chuẩn sau khi sửa: </w:t>
      </w:r>
      <w:r>
        <w:rPr>
          <w:rFonts w:ascii="Calibri" w:hAnsi="Calibri"/>
          <w:color w:val="1E293B"/>
          <w:sz w:val="22"/>
        </w:rPr>
        <w:t>=VLOOKUP(E2, $H$4:$J$7, 3, FALSE)</w:t>
      </w:r>
    </w:p>
    <w:p>
      <w:pPr>
        <w:spacing w:line="276" w:lineRule="auto" w:after="120"/>
      </w:pPr>
      <w:r>
        <w:rPr>
          <w:rFonts w:ascii="Calibri" w:hAnsi="Calibri"/>
          <w:color w:val="1E293B"/>
          <w:sz w:val="22"/>
        </w:rPr>
        <w:t>Ý nghĩa chi tiết của từng thành phần trong công thức:</w:t>
      </w:r>
    </w:p>
    <w:p>
      <w:pPr>
        <w:pStyle w:val="ListBullet"/>
        <w:spacing w:line="276" w:lineRule="auto" w:before="20" w:after="80"/>
      </w:pPr>
      <w:r>
        <w:rPr>
          <w:rFonts w:ascii="Calibri" w:hAnsi="Calibri"/>
          <w:b/>
          <w:color w:val="1E293B"/>
          <w:sz w:val="22"/>
        </w:rPr>
        <w:t xml:space="preserve">E2: </w:t>
      </w:r>
      <w:r>
        <w:rPr>
          <w:rFonts w:ascii="Calibri" w:hAnsi="Calibri"/>
          <w:color w:val="1E293B"/>
          <w:sz w:val="22"/>
        </w:rPr>
        <w:t>Là ô chứa Mã môi giới cần đem đi dò tìm. Ta giữ nguyên địa chỉ tương đối (không có dấu $) để khi kéo xuống dòng 3, 4, 5 nó tự động đổi thành E3, E4, E5 tương ứng với từng căn nhà.</w:t>
      </w:r>
    </w:p>
    <w:p>
      <w:pPr>
        <w:pStyle w:val="ListBullet"/>
        <w:spacing w:line="276" w:lineRule="auto" w:before="20" w:after="80"/>
      </w:pPr>
      <w:r>
        <w:rPr>
          <w:rFonts w:ascii="Calibri" w:hAnsi="Calibri"/>
          <w:b/>
          <w:color w:val="1E293B"/>
          <w:sz w:val="22"/>
        </w:rPr>
        <w:t xml:space="preserve">$H$4:$J$7: </w:t>
      </w:r>
      <w:r>
        <w:rPr>
          <w:rFonts w:ascii="Calibri" w:hAnsi="Calibri"/>
          <w:color w:val="1E293B"/>
          <w:sz w:val="22"/>
        </w:rPr>
        <w:t>Là vùng bảng tra cứu môi giới đã được khóa tuyệt đối cả cột H đến cột J và từ hàng 4 đến hàng 7. Dù kéo công thức xuống bao nhiêu dòng, vùng này vẫn đứng yên tại $H$4:$J$7.</w:t>
      </w:r>
    </w:p>
    <w:p>
      <w:pPr>
        <w:pStyle w:val="ListBullet"/>
        <w:spacing w:line="276" w:lineRule="auto" w:before="20" w:after="80"/>
      </w:pPr>
      <w:r>
        <w:rPr>
          <w:rFonts w:ascii="Calibri" w:hAnsi="Calibri"/>
          <w:b/>
          <w:color w:val="1E293B"/>
          <w:sz w:val="22"/>
        </w:rPr>
        <w:t xml:space="preserve">3: </w:t>
      </w:r>
      <w:r>
        <w:rPr>
          <w:rFonts w:ascii="Calibri" w:hAnsi="Calibri"/>
          <w:color w:val="1E293B"/>
          <w:sz w:val="22"/>
        </w:rPr>
        <w:t>Là số thứ tự cột cần lấy kết quả trong bảng tra cứu (Cột 1 là Mã MG, Cột 2 là Tên môi giới, Cột 3 là Tỷ lệ hoa hồng).</w:t>
      </w:r>
    </w:p>
    <w:p>
      <w:pPr>
        <w:pStyle w:val="ListBullet"/>
        <w:spacing w:line="276" w:lineRule="auto" w:before="20" w:after="80"/>
      </w:pPr>
      <w:r>
        <w:rPr>
          <w:rFonts w:ascii="Calibri" w:hAnsi="Calibri"/>
          <w:b/>
          <w:color w:val="1E293B"/>
          <w:sz w:val="22"/>
        </w:rPr>
        <w:t xml:space="preserve">FALSE (hoặc số 0): </w:t>
      </w:r>
      <w:r>
        <w:rPr>
          <w:rFonts w:ascii="Calibri" w:hAnsi="Calibri"/>
          <w:color w:val="1E293B"/>
          <w:sz w:val="22"/>
        </w:rPr>
        <w:t>Bắt buộc dò tìm chính xác tuyệt đối mã môi giới (chỉ khi khớp đúng chữ MG01, MG02... mới lấy kết quả).</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E6B4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F4C8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