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TÀI LIỆU ĐẶC TẢ YÊU CẦU PHẦN MỀM (SRS)</w:t>
        <w:br/>
        <w:t>DỰ ÁN VÍ ĐIỆN TỬ SINH VIÊN PAYKX</w:t>
        <w:br/>
        <w:t>PHÂN HỆ: TÍNH NĂNG HOÀN TIỀN (CASHBACK)</w:t>
      </w:r>
    </w:p>
    <w:p>
      <w:pPr>
        <w:jc w:val="center"/>
      </w:pPr>
      <w:r>
        <w:br/>
        <w:t>Mã tài liệu: PAYKX-SRS-CB-2026</w:t>
        <w:br/>
        <w:t>Phiên bản: 1.0 | Ngày ban hành: 10/2026</w:t>
        <w:br/>
        <w:t>Người lập: Trưởng dự án PayKX</w:t>
        <w:br/>
        <w:br/>
      </w:r>
    </w:p>
    <w:p>
      <w:r>
        <w:rPr>
          <w:b/>
          <w:sz w:val="28"/>
        </w:rPr>
        <w:t>MỤC LỤC TỰ ĐỘNG (AUTO TOC)</w:t>
      </w:r>
    </w:p>
    <w:p>
      <w:r>
        <w:fldChar w:fldCharType="begin"/>
        <w:instrText xml:space="preserve">TOC \o "1-2" \h \z \u</w:instrText>
        <w:fldChar w:fldCharType="separate"/>
        <w:fldChar w:fldCharType="end"/>
      </w:r>
    </w:p>
    <w:p>
      <w:r>
        <w:t>(Lưu ý: Nhấn chuột phải vào vùng mục lục và chọn 'Update Field' trong MS Word để cập nhật số trang tự động)</w:t>
        <w:br/>
        <w:t>1. Giới thiệu tổng quan .......................................................................................................... 2</w:t>
        <w:br/>
        <w:t xml:space="preserve">  1.1. Mục đích tài liệu ........................................................................................................... 2</w:t>
        <w:br/>
        <w:t xml:space="preserve">  1.2. Phạm vi sản phẩm PayKX ............................................................................................. 2</w:t>
        <w:br/>
        <w:t>2. Mô tả tổng thể hệ thống ..................................................................................................... 3</w:t>
        <w:br/>
        <w:t xml:space="preserve">  2.1. Đối tượng người dùng (Sinh viên) ............................................................................... 3</w:t>
        <w:br/>
        <w:t xml:space="preserve">  2.2. Giả định và Ràng buộc đối soát ................................................................................... 3</w:t>
        <w:br/>
        <w:t>3. Yêu cầu chức năng Hoàn tiền (Functional Requirements) ................................................ 4</w:t>
        <w:br/>
        <w:t xml:space="preserve">  3.1. Tính năng hoàn tiền nạp điện thoại &amp; học phí ............................................................ 4</w:t>
        <w:br/>
        <w:t xml:space="preserve">  3.2. Tính năng đối soát giao dịch tự động với ngân hàng .................................................. 4</w:t>
        <w:br/>
        <w:t>4. Yêu cầu phi chức năng (Non-Functional Requirements) ................................................... 5</w:t>
        <w:br/>
        <w:t xml:space="preserve">  4.1. Hiệu năng &amp; Bảo mật giao dịch .................................................................................... 5</w:t>
        <w:br/>
        <w:t xml:space="preserve">  4.2. Quy chuẩn cơ sở dữ liệu đối soát ................................................................................. 5</w:t>
      </w:r>
    </w:p>
    <w:p>
      <w:r>
        <w:br w:type="page"/>
      </w:r>
    </w:p>
    <w:p>
      <w:pPr>
        <w:pStyle w:val="Heading1"/>
      </w:pPr>
      <w:r>
        <w:t>1. Giới thiệu tổng quan</w:t>
      </w:r>
    </w:p>
    <w:p>
      <w:pPr>
        <w:pStyle w:val="Heading2"/>
      </w:pPr>
      <w:r>
        <w:t>1.1. Mục đích tài liệu</w:t>
      </w:r>
    </w:p>
    <w:p>
      <w:r>
        <w:t>Tài liệu Đặc tả Yêu cầu Phần mềm (SRS) này quy định chi tiết các yêu cầu nghiệp vụ, chức năng và phi chức năng cho phân hệ Hoàn tiền (Cashback) thuộc dự án Ví điện tử sinh viên PayKX. Tài liệu là cơ sở thống nhất giữa đội ngũ phát triển, bộ phận kiểm thử (QA), bộ phận kế toán đối soát và các ngân hàng đối tác liên kết.</w:t>
      </w:r>
    </w:p>
    <w:p>
      <w:pPr>
        <w:pStyle w:val="Heading2"/>
      </w:pPr>
      <w:r>
        <w:t>1.2. Phạm vi sản phẩm PayKX</w:t>
      </w:r>
    </w:p>
    <w:p>
      <w:r>
        <w:t>PayKX là nền tảng thanh toán di động chuyên biệt dành cho sinh viên đại học, cung cấp các dịch vụ thanh toán học phí, nạp tiền điện thoại, mua vé xe buýt và thanh toán tại căng-tin. Phân hệ Hoàn tiền giúp hoàn trả từ 5% - 15% giá trị giao dịch vào ví thưởng của sinh viên ngay sau khi giao dịch được đối soát thành công với cổng ngân hàng.</w:t>
      </w:r>
    </w:p>
    <w:tbl>
      <w:tblPr>
        <w:tblStyle w:val="TableGrid"/>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Định nghĩa</w:t>
            </w:r>
          </w:p>
        </w:tc>
      </w:tr>
      <w:tr>
        <w:tc>
          <w:tcPr>
            <w:tcW w:type="dxa" w:w="4320"/>
          </w:tcPr>
          <w:p>
            <w:r>
              <w:t>Cashback Wallet</w:t>
            </w:r>
          </w:p>
        </w:tc>
        <w:tc>
          <w:tcPr>
            <w:tcW w:type="dxa" w:w="4320"/>
          </w:tcPr>
          <w:p>
            <w:r>
              <w:t>Tài khoản ví phụ lưu trữ số dư tiền hoàn lại của sinh viên.</w:t>
            </w:r>
          </w:p>
        </w:tc>
      </w:tr>
      <w:tr>
        <w:tc>
          <w:tcPr>
            <w:tcW w:type="dxa" w:w="4320"/>
          </w:tcPr>
          <w:p>
            <w:r>
              <w:t>Mã giao dịch (TXN_ID)</w:t>
            </w:r>
          </w:p>
        </w:tc>
        <w:tc>
          <w:tcPr>
            <w:tcW w:type="dxa" w:w="4320"/>
          </w:tcPr>
          <w:p>
            <w:r>
              <w:t>Chuỗi định danh duy nhất gồm 8 ký tự chuẩn hóa không chứa khoảng trắng thừa.</w:t>
            </w:r>
          </w:p>
        </w:tc>
      </w:tr>
      <w:tr>
        <w:tc>
          <w:tcPr>
            <w:tcW w:type="dxa" w:w="4320"/>
          </w:tcPr>
          <w:p>
            <w:r>
              <w:t>Đối soát T+1</w:t>
            </w:r>
          </w:p>
        </w:tc>
        <w:tc>
          <w:tcPr>
            <w:tcW w:type="dxa" w:w="4320"/>
          </w:tcPr>
          <w:p>
            <w:r>
              <w:t>Quy trình khớp lệnh dữ liệu giữa PayKX và Ngân hàng vào 08:00 sáng ngày hôm sau.</w:t>
            </w:r>
          </w:p>
        </w:tc>
      </w:tr>
    </w:tbl>
    <w:p>
      <w:r>
        <w:br w:type="page"/>
      </w:r>
    </w:p>
    <w:p>
      <w:pPr>
        <w:pStyle w:val="Heading1"/>
      </w:pPr>
      <w:r>
        <w:t>2. Mô tả tổng thể hệ thống</w:t>
      </w:r>
    </w:p>
    <w:p>
      <w:pPr>
        <w:pStyle w:val="Heading2"/>
      </w:pPr>
      <w:r>
        <w:t>2.1. Đối tượng người dùng (Sinh viên)</w:t>
      </w:r>
    </w:p>
    <w:p>
      <w:r>
        <w:t>Hệ thống phục vụ nhóm người dùng chính là sinh viên các trường đại học đã xác thực thẻ sinh viên và tài khoản ngân hàng (eKYC). Đặc điểm giao dịch là tần suất cao, giá trị mỗi giao dịch nhỏ (từ 10.000 VNĐ đến 2.000.000 VNĐ), tập trung cao điểm vào khung giờ ăn trưa (11:30 - 13:00) và các đợt đóng học phí đầu học kỳ.</w:t>
      </w:r>
    </w:p>
    <w:p>
      <w:pPr>
        <w:pStyle w:val="Heading2"/>
      </w:pPr>
      <w:r>
        <w:t>2.2. Giả định và Ràng buộc đối soát</w:t>
      </w:r>
    </w:p>
    <w:p>
      <w:r>
        <w:t>- Mọi giao dịch hoàn tiền phải có mã giao dịch hợp lệ đối chiếu khớp 100% với bảng tổng hợp phí từ ngân hàng đối tác.</w:t>
        <w:br/>
        <w:t>- Dữ liệu xuất ra phục vụ đối soát phải tuân thủ nghiêm ngặt chuẩn Database: không gộp ô (Merge Cells), không để dòng trống, loại bỏ toàn bộ khoảng trắng thừa ở đầu và cuối mã giao dịch bằng hàm chuẩn hóa trước khi tra cứu.</w:t>
      </w:r>
    </w:p>
    <w:p>
      <w:r>
        <w:br w:type="page"/>
      </w:r>
    </w:p>
    <w:p>
      <w:pPr>
        <w:pStyle w:val="Heading1"/>
      </w:pPr>
      <w:r>
        <w:t>3. Yêu cầu chức năng Hoàn tiền (Functional Requirements)</w:t>
      </w:r>
    </w:p>
    <w:p>
      <w:pPr>
        <w:pStyle w:val="Heading2"/>
      </w:pPr>
      <w:r>
        <w:t>3.1. Tính năng hoàn tiền nạp điện thoại &amp; học phí</w:t>
      </w:r>
    </w:p>
    <w:p>
      <w:r>
        <w:t>- FR-01: Khi sinh viên nạp tiền điện thoại từ 50.000 VNĐ trở lên, hệ thống tự động tính mức hoàn tiền 15% (tối đa 15.000 VNĐ/lần).</w:t>
        <w:br/>
        <w:t>- FR-02: Khi sinh viên thanh toán học phí qua cổng liên kết ngân hàng, hệ thống hoàn tiền cố định 1% (tối đa 50.000 VNĐ/kỳ).</w:t>
        <w:br/>
        <w:t>- FR-03: Tiền hoàn được ghi nhận ở trạng thái 'Tạm giữ' và chuyển sang 'Khả dụng' ngay khi giao dịch gốc có trạng thái Thành công.</w:t>
      </w:r>
    </w:p>
    <w:p>
      <w:pPr>
        <w:pStyle w:val="Heading2"/>
      </w:pPr>
      <w:r>
        <w:t>3.2. Tính năng đối soát giao dịch tự động với ngân hàng</w:t>
      </w:r>
    </w:p>
    <w:p>
      <w:r>
        <w:t>- FR-04: Hệ thống xuất báo cáo giao dịch chuẩn hóa định dạng bảng phẳng (Flat Table) gồm các trường (Field): Mã giao dịch gốc, Mã giao dịch làm sạch, Tên người dùng, Dịch vụ, Số tiền giao dịch, Phí ngân hàng và Tiền hoàn.</w:t>
        <w:br/>
        <w:t>- FR-05: Tích hợp công cụ đối chiếu chính xác (Exact Match - VLOOKUP FALSE) từ mã giao dịch sang danh mục người dùng để phát hiện các giao dịch lệch mã hoặc sai định dạng chuỗi.</w:t>
      </w:r>
    </w:p>
    <w:p>
      <w:r>
        <w:br w:type="page"/>
      </w:r>
    </w:p>
    <w:p>
      <w:pPr>
        <w:pStyle w:val="Heading1"/>
      </w:pPr>
      <w:r>
        <w:t>4. Yêu cầu phi chức năng (Non-Functional Requirements)</w:t>
      </w:r>
    </w:p>
    <w:p>
      <w:pPr>
        <w:pStyle w:val="Heading2"/>
      </w:pPr>
      <w:r>
        <w:t>4.1. Hiệu năng &amp; Bảo mật giao dịch</w:t>
      </w:r>
    </w:p>
    <w:p>
      <w:r>
        <w:t>- NFR-01 (Hiệu năng): Thời gian xử lý cộng tiền hoàn vào ví phụ không vượt quá 2 giây kể từ khi nhận callback thành công.</w:t>
        <w:br/>
        <w:t>- NFR-02 (Chịu tải): Hệ thống đáp ứng tối thiểu 5.000 giao dịch/giây (TPS) trong khung giờ cao điểm nạp điện thoại khuyến mãi.</w:t>
        <w:br/>
        <w:t>- NFR-03 (Bảo mật): Mã hóa toàn bộ thông tin định danh sinh viên theo chuẩn AES-256 và tuân thủ tiêu chuẩn PCI-DSS.</w:t>
      </w:r>
    </w:p>
    <w:p>
      <w:pPr>
        <w:pStyle w:val="Heading2"/>
      </w:pPr>
      <w:r>
        <w:t>4.2. Quy chuẩn cơ sở dữ liệu đối soát</w:t>
      </w:r>
    </w:p>
    <w:p>
      <w:r>
        <w:t>- NFR-04 (Toàn vẹn dữ liệu): Mỗi dòng dữ liệu là một bản ghi (Record) độc lập, mỗi cột là một thuộc tính (Field) đồng nhất kiểu dữ liệu.</w:t>
        <w:br/>
        <w:t>- NFR-05 (Kiểm soát lỗi): Tự động gắn cờ cảnh báo các mã giao dịch phát sinh lỗi #N/A trong quá trình đối soát để bộ phận vận hành kiểm tra theo quy trình 4 bước.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5E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