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r w:rsidRPr="005D6CB1">
        <w:rPr>
          <w:sz w:val="24"/>
          <w:szCs w:val="24"/>
        </w:rPr>
        <w:t>Huy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1</w:t>
      </w:r>
      <w:r>
        <w:rPr>
          <w:i/>
          <w:sz w:val="24"/>
          <w:szCs w:val="24"/>
        </w:rPr>
        <w:t>2</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 for customers to check for restaurants quality.</w:t>
            </w:r>
            <w:r w:rsidR="001D3892">
              <w:t xml:space="preserve"> To help users make better choices,</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principles 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Using Yelp’s dataset, we develop an enhanced collaborative filtering using location as a key criterion for generating recommendations and then extract collaborative and content-based features to identify customer and restaurant profiles. Besides, we also provide frequent itemset references to users subsequently based on their chosen restaurants.</w:t>
            </w:r>
            <w:r w:rsidR="00FE0DF2">
              <w:t xml:space="preserve"> We would evaluate our algorithm using Root metrics Mean Squared Error and Mean Absolute Error, we then evaluate and compare the algorithms.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collaborative filtering, frequent itemset, recommendation, location-based, location, Yelp dataset.</w:t>
      </w:r>
    </w:p>
    <w:p w:rsidR="00A76FE4" w:rsidRDefault="004D1930" w:rsidP="004D1930">
      <w:pPr>
        <w:pStyle w:val="Heading1"/>
        <w:numPr>
          <w:ilvl w:val="0"/>
          <w:numId w:val="39"/>
        </w:numPr>
      </w:pPr>
      <w:r w:rsidRPr="0008559C">
        <w:t>I</w:t>
      </w:r>
      <w:r w:rsidR="00525F3E">
        <w:t>ntroduction</w:t>
      </w:r>
    </w:p>
    <w:p w:rsidR="004D1930" w:rsidRDefault="000115FA" w:rsidP="004D1930">
      <w:r w:rsidRPr="000115FA">
        <w:t>A vast database of reviews, ratings, and general information provided by the community about businesses, Yelp provides consumers with a myriad of options and information even when searching for an especially specific service or goods niche. However, although all required information may be present to make an informed choice, it is often still difficult by just looking at the raw data. Reading all the reviews of a single business alone is time consuming and requires more effort than the average user is willing to expend. As a result, we believe users could greatly benefit from a recommendation system</w:t>
      </w:r>
    </w:p>
    <w:p w:rsidR="005D02F0" w:rsidRDefault="00B819B7" w:rsidP="005D02F0">
      <w:pPr>
        <w:pStyle w:val="Heading2"/>
      </w:pPr>
      <w:r w:rsidRPr="00B819B7">
        <w:t>Context</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B819B7" w:rsidP="005D02F0">
      <w:pPr>
        <w:pStyle w:val="Heading3"/>
      </w:pPr>
      <w:r w:rsidRPr="00B819B7">
        <w:t>Objectives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B819B7" w:rsidRDefault="00B819B7" w:rsidP="00B819B7">
      <w:pPr>
        <w:pStyle w:val="Heading2"/>
      </w:pPr>
      <w:r>
        <w:t>Problem to Solve</w:t>
      </w:r>
    </w:p>
    <w:p w:rsidR="00B819B7" w:rsidRDefault="00B819B7" w:rsidP="00B819B7">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B819B7" w:rsidRPr="00EB3FD4" w:rsidRDefault="00B819B7" w:rsidP="00B819B7">
      <w:pPr>
        <w:pStyle w:val="Heading3"/>
      </w:pPr>
      <w:r w:rsidRPr="00B819B7">
        <w:lastRenderedPageBreak/>
        <w:t>Related Work</w:t>
      </w:r>
    </w:p>
    <w:p w:rsidR="000115FA" w:rsidRDefault="00B819B7" w:rsidP="00B819B7">
      <w:r>
        <w:t xml:space="preserve">Recommendation systems facilitate users to make better choices while dealing with huge amount of data by recommending to them items that they would like. </w:t>
      </w:r>
    </w:p>
    <w:p w:rsidR="000115FA" w:rsidRDefault="000115FA" w:rsidP="00B819B7"/>
    <w:p w:rsidR="005D02F0" w:rsidRDefault="00B819B7" w:rsidP="00B819B7">
      <w:r>
        <w:t xml:space="preserve">There has been a lot of work done on designing recommender systems during the last two decades. Amazon.com [3] and Netflix [4] are two popular applications of recommender systems. [5] Presents an online social network-based recommender system that extracts </w:t>
      </w:r>
      <w:proofErr w:type="spellStart"/>
      <w:r>
        <w:t>user</w:t>
      </w:r>
      <w:r>
        <w:rPr>
          <w:rFonts w:ascii="Times New Roman" w:hAnsi="Times New Roman"/>
        </w:rPr>
        <w:t>‟</w:t>
      </w:r>
      <w:r>
        <w:t>s</w:t>
      </w:r>
      <w:proofErr w:type="spellEnd"/>
      <w:r>
        <w:t xml:space="preserve"> interests for jobs and then makes recommendations to them accordingly. It is focused on two very popular social networks Facebook and LinkedIn. [6] Implements Naive Bayes to retrieve hidden data from stored database and compares the user values with trained data set. Then mapping of </w:t>
      </w:r>
      <w:proofErr w:type="spellStart"/>
      <w:r>
        <w:t>patient</w:t>
      </w:r>
      <w:r>
        <w:rPr>
          <w:rFonts w:ascii="Times New Roman" w:hAnsi="Times New Roman"/>
        </w:rPr>
        <w:t>‟</w:t>
      </w:r>
      <w:r>
        <w:t>s</w:t>
      </w:r>
      <w:proofErr w:type="spellEnd"/>
      <w:r>
        <w:t xml:space="preserve"> attributes with stored database entries is done and probabilistic values are </w:t>
      </w:r>
      <w:proofErr w:type="spellStart"/>
      <w:r>
        <w:t>analysed</w:t>
      </w:r>
      <w:proofErr w:type="spellEnd"/>
      <w:r>
        <w:t xml:space="preserve"> for decision making. It can answer complex queries for diagnosing heart disease and thus assist healthcare practitioners to make intelligent clinical decisions which traditional decision support systems cannot. Sentiment analysis or opinion mining, an imperative research area of</w:t>
      </w:r>
      <w:r w:rsidR="00653BE0">
        <w:t xml:space="preserve"> </w:t>
      </w:r>
      <w:r>
        <w:t>natural language processing, involves the extraction and identification of the attitude of a speaker or writer about a</w:t>
      </w:r>
      <w:r w:rsidR="00653BE0">
        <w:t xml:space="preserve"> </w:t>
      </w:r>
      <w:r>
        <w:t>certain subject matter [7]. Opinion is generally combination of words, sentences, or documents. Opinion mining is</w:t>
      </w:r>
      <w:r w:rsidR="00653BE0">
        <w:t xml:space="preserve"> </w:t>
      </w:r>
      <w:r>
        <w:t>based on the reviews of the other users. Sentiment analysis is used to classify each opinion as positive or negative.[8]</w:t>
      </w:r>
      <w:r w:rsidR="00653BE0">
        <w:t xml:space="preserve"> </w:t>
      </w:r>
      <w:r>
        <w:t>Research paper proposed a novel document quality classification approach, which extracts sentiment value from</w:t>
      </w:r>
      <w:r w:rsidR="00653BE0">
        <w:t xml:space="preserve"> </w:t>
      </w:r>
      <w:proofErr w:type="spellStart"/>
      <w:r>
        <w:t>SentiWordNet</w:t>
      </w:r>
      <w:proofErr w:type="spellEnd"/>
      <w:r>
        <w:t xml:space="preserve"> and accumulates the different sentimental influence of each word based on a document level. According</w:t>
      </w:r>
      <w:r w:rsidR="00653BE0">
        <w:t xml:space="preserve"> </w:t>
      </w:r>
      <w:r>
        <w:t xml:space="preserve">to the experimental results, this proposed approach, which extract sentimental knowledge from </w:t>
      </w:r>
      <w:proofErr w:type="spellStart"/>
      <w:r>
        <w:t>SentiWordNet</w:t>
      </w:r>
      <w:proofErr w:type="spellEnd"/>
      <w:r>
        <w:t>,</w:t>
      </w:r>
      <w:r w:rsidR="00653BE0">
        <w:t xml:space="preserve"> </w:t>
      </w:r>
      <w:r>
        <w:t xml:space="preserve">outperform the approach in which </w:t>
      </w:r>
      <w:proofErr w:type="spellStart"/>
      <w:r>
        <w:t>SentiWordNet</w:t>
      </w:r>
      <w:proofErr w:type="spellEnd"/>
      <w:r>
        <w:t xml:space="preserve"> is not used for all categories with an exception, which is spam</w:t>
      </w:r>
      <w:r w:rsidR="00653BE0">
        <w:t xml:space="preserve"> </w:t>
      </w:r>
      <w:r>
        <w:t xml:space="preserve">category. [9] Proposed system uses </w:t>
      </w:r>
      <w:proofErr w:type="spellStart"/>
      <w:r>
        <w:t>SentiWordNet</w:t>
      </w:r>
      <w:proofErr w:type="spellEnd"/>
      <w:r>
        <w:t xml:space="preserve"> library. The data from the reviews first removing stop words, then</w:t>
      </w:r>
      <w:r w:rsidR="00653BE0">
        <w:t xml:space="preserve"> </w:t>
      </w:r>
      <w:r>
        <w:t>stemming by Porter Stemmer algorithm and then that reviews are tagged by their respective parts of speech. Then the</w:t>
      </w:r>
      <w:r w:rsidR="00653BE0">
        <w:t xml:space="preserve"> </w:t>
      </w:r>
      <w:r>
        <w:t xml:space="preserve">score of review is calculated by pair of part of speech and rank in </w:t>
      </w:r>
      <w:proofErr w:type="spellStart"/>
      <w:r>
        <w:t>SentiWordNet</w:t>
      </w:r>
      <w:proofErr w:type="spellEnd"/>
      <w:r>
        <w:t>.</w:t>
      </w:r>
    </w:p>
    <w:p w:rsidR="004D1930" w:rsidRDefault="00963BA8" w:rsidP="00963BA8">
      <w:pPr>
        <w:pStyle w:val="Heading1"/>
        <w:numPr>
          <w:ilvl w:val="0"/>
          <w:numId w:val="39"/>
        </w:numPr>
      </w:pPr>
      <w:r w:rsidRPr="00963BA8">
        <w:t>Materials and Methods</w:t>
      </w:r>
    </w:p>
    <w:p w:rsidR="005D02F0" w:rsidRDefault="000115FA" w:rsidP="000115FA">
      <w:pPr>
        <w:pStyle w:val="Heading2"/>
        <w:numPr>
          <w:ilvl w:val="1"/>
          <w:numId w:val="39"/>
        </w:numPr>
        <w:ind w:left="709" w:hanging="425"/>
      </w:pPr>
      <w:r>
        <w:t>Materials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4E3F16" w:rsidRDefault="007C6A7A" w:rsidP="004E3F16">
      <w:pPr>
        <w:pStyle w:val="Heading2"/>
        <w:numPr>
          <w:ilvl w:val="1"/>
          <w:numId w:val="39"/>
        </w:numPr>
        <w:ind w:left="709" w:hanging="425"/>
      </w:pPr>
      <w:r w:rsidRPr="007C6A7A">
        <w:t>Methods</w:t>
      </w:r>
    </w:p>
    <w:p w:rsidR="007C6A7A" w:rsidRPr="00EB3FD4" w:rsidRDefault="00303A59" w:rsidP="007C6A7A">
      <w:pPr>
        <w:pStyle w:val="Heading3"/>
      </w:pPr>
      <w:r>
        <w:t xml:space="preserve">Alternating least Square </w:t>
      </w:r>
      <w:r w:rsidR="00DF0079">
        <w:t>Collaborate-filtering</w:t>
      </w:r>
    </w:p>
    <w:p w:rsidR="001A0BA9" w:rsidRDefault="007E3480" w:rsidP="007E3480">
      <w:r>
        <w:t xml:space="preserve">Collaborative filtering is a method to make predictions for a user based on his or her preferences already exist in the database. </w:t>
      </w:r>
      <w:r w:rsidR="00A2198D">
        <w:t xml:space="preserve">There are </w:t>
      </w:r>
      <w:r>
        <w:t xml:space="preserve">different approaches in collaborate-filtering, for example </w:t>
      </w:r>
      <w:r w:rsidR="00A2198D">
        <w:t>user-based</w:t>
      </w:r>
      <w:r>
        <w:t>,</w:t>
      </w:r>
      <w:r w:rsidR="00A2198D">
        <w:t xml:space="preserve"> item-based </w:t>
      </w:r>
      <w:r>
        <w:t xml:space="preserve">or matrix factorization </w:t>
      </w:r>
      <w:r w:rsidR="00A2198D">
        <w:t>approach</w:t>
      </w:r>
      <w:r w:rsidR="00F314DB">
        <w:t xml:space="preserve">. Matrix factorization is a new solution comparing to the other two approaches due to its ability to solve </w:t>
      </w:r>
      <w:r w:rsidR="00F314DB" w:rsidRPr="00F314DB">
        <w:t>sparse</w:t>
      </w:r>
      <w:r w:rsidR="00F314DB">
        <w:t xml:space="preserve"> data problem, which is made famous after the Netflix Prize Challenge. In </w:t>
      </w:r>
      <w:r w:rsidR="00F314DB" w:rsidRPr="00F314DB">
        <w:t>linear algebra</w:t>
      </w:r>
      <w:r w:rsidR="00F314DB">
        <w:t xml:space="preserve">, </w:t>
      </w:r>
      <w:r w:rsidR="00F314DB" w:rsidRPr="00F314DB">
        <w:t xml:space="preserve">a matrix factorization </w:t>
      </w:r>
      <w:r w:rsidR="00F314DB">
        <w:t>can be defined as</w:t>
      </w:r>
      <w:r w:rsidR="00F314DB" w:rsidRPr="00F314DB">
        <w:t xml:space="preserve"> a factorization of a matrix into a product of matrices</w:t>
      </w:r>
      <w:r w:rsidR="00F314DB">
        <w:t>. As for</w:t>
      </w:r>
      <w:r w:rsidR="00F314DB" w:rsidRPr="00F314DB">
        <w:t xml:space="preserve"> collaborative filtering, </w:t>
      </w:r>
      <w:r w:rsidR="00F314DB" w:rsidRPr="00F314DB">
        <w:rPr>
          <w:bCs/>
        </w:rPr>
        <w:t>matrix factorization</w:t>
      </w:r>
      <w:r w:rsidR="00F314DB" w:rsidRPr="00F314DB">
        <w:t xml:space="preserve"> algorithms </w:t>
      </w:r>
      <w:r w:rsidR="00F314DB">
        <w:t>applied by</w:t>
      </w:r>
      <w:r w:rsidR="00F314DB" w:rsidRPr="00F314DB">
        <w:t xml:space="preserve"> </w:t>
      </w:r>
      <w:r w:rsidR="00F314DB" w:rsidRPr="00F314DB">
        <w:rPr>
          <w:bCs/>
        </w:rPr>
        <w:t>decomposing</w:t>
      </w:r>
      <w:r w:rsidR="00F314DB" w:rsidRPr="00F314DB">
        <w:t xml:space="preserve"> user-item</w:t>
      </w:r>
      <w:r w:rsidR="00F314DB">
        <w:t xml:space="preserve"> predicted</w:t>
      </w:r>
      <w:r w:rsidR="00F314DB" w:rsidRPr="00F314DB">
        <w:t xml:space="preserve"> </w:t>
      </w:r>
      <w:r w:rsidR="00F314DB">
        <w:t xml:space="preserve">rating </w:t>
      </w:r>
      <w:r w:rsidR="00F314DB" w:rsidRPr="00F314DB">
        <w:t xml:space="preserve">interaction matrix into </w:t>
      </w:r>
      <w:r w:rsidR="00F314DB">
        <w:t>a</w:t>
      </w:r>
      <w:r w:rsidR="00F314DB" w:rsidRPr="00F314DB">
        <w:t xml:space="preserve"> product of two </w:t>
      </w:r>
      <w:r w:rsidR="00F314DB" w:rsidRPr="00F314DB">
        <w:rPr>
          <w:bCs/>
        </w:rPr>
        <w:t>lower dimensionality rectangular matrices</w:t>
      </w:r>
      <w:r w:rsidR="00F314DB">
        <w:t xml:space="preserve">, namely as user matrix and item matrix. </w:t>
      </w:r>
      <w:r w:rsidR="001A0BA9">
        <w:t xml:space="preserve">While the row represents user and the column are latent factors in user matrix, it is the opposite role for item matrix. A matrix factorization matrix used to predict </w:t>
      </w:r>
      <w:r w:rsidR="00B65D7F">
        <w:t xml:space="preserve">rating r of </w:t>
      </w:r>
      <w:r w:rsidR="001A0BA9">
        <w:t xml:space="preserve">user u for item </w:t>
      </w:r>
      <w:proofErr w:type="spellStart"/>
      <w:r w:rsidR="001A0BA9">
        <w:t>i</w:t>
      </w:r>
      <w:proofErr w:type="spellEnd"/>
      <w:r w:rsidR="001A0BA9">
        <w:t xml:space="preserve"> can be presented as a formula as follow:</w:t>
      </w:r>
    </w:p>
    <w:p w:rsidR="00945338" w:rsidRDefault="001A0BA9" w:rsidP="007E3480">
      <w:r>
        <w:rPr>
          <w:noProof/>
        </w:rPr>
        <w:lastRenderedPageBreak/>
        <w:drawing>
          <wp:inline distT="0" distB="0" distL="0" distR="0">
            <wp:extent cx="1894754" cy="662940"/>
            <wp:effectExtent l="0" t="0" r="0" b="3810"/>
            <wp:docPr id="1" name="Picture 1" descr="https://cdn-images-1.medium.com/max/1000/1*EwHsfRtda-N-IUj-lMtQ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000/1*EwHsfRtda-N-IUj-lMtQ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5" cy="668748"/>
                    </a:xfrm>
                    <a:prstGeom prst="rect">
                      <a:avLst/>
                    </a:prstGeom>
                    <a:noFill/>
                    <a:ln>
                      <a:noFill/>
                    </a:ln>
                  </pic:spPr>
                </pic:pic>
              </a:graphicData>
            </a:graphic>
          </wp:inline>
        </w:drawing>
      </w:r>
    </w:p>
    <w:p w:rsidR="001A0BA9" w:rsidRDefault="001A0BA9" w:rsidP="007E3480">
      <w:r>
        <w:t xml:space="preserve">where H is the user matrix and W is the item matrix. </w:t>
      </w:r>
    </w:p>
    <w:p w:rsidR="001A0BA9" w:rsidRDefault="001A0BA9" w:rsidP="007E3480">
      <w:r>
        <w:t xml:space="preserve">In Spark, </w:t>
      </w:r>
      <w:r w:rsidRPr="001A0BA9">
        <w:t xml:space="preserve">Alternating Least Square (ALS) is also a matrix factorization algorithm </w:t>
      </w:r>
      <w:r>
        <w:t xml:space="preserve">that </w:t>
      </w:r>
      <w:r w:rsidRPr="001A0BA9">
        <w:t>runs</w:t>
      </w:r>
      <w:r>
        <w:t xml:space="preserve"> </w:t>
      </w:r>
      <w:r w:rsidRPr="001A0BA9">
        <w:t xml:space="preserve">in a parallel fashion. ALS is implemented in Apache Spark </w:t>
      </w:r>
      <w:r>
        <w:t>Machine Learning (ML) library</w:t>
      </w:r>
      <w:r w:rsidRPr="001A0BA9">
        <w:t xml:space="preserve"> and built for a large-scale collaborative filtering problems</w:t>
      </w:r>
    </w:p>
    <w:p w:rsidR="001A0BA9" w:rsidRDefault="001A0BA9" w:rsidP="007E3480"/>
    <w:p w:rsidR="00DF0079" w:rsidRPr="00EB3FD4" w:rsidRDefault="00DF0079" w:rsidP="00DF0079">
      <w:pPr>
        <w:pStyle w:val="Heading3"/>
      </w:pPr>
      <w:r>
        <w:t xml:space="preserve">Frequent </w:t>
      </w:r>
      <w:r w:rsidR="00303A59">
        <w:t>pattern algorithm</w:t>
      </w:r>
    </w:p>
    <w:p w:rsidR="00DF0079" w:rsidRDefault="00303A59" w:rsidP="00DF0079">
      <w:r>
        <w:t xml:space="preserve">Frequent pattern (FP) growth algorithm is </w:t>
      </w:r>
      <w:r w:rsidR="008844BB">
        <w:t xml:space="preserve">one of many ways to do </w:t>
      </w:r>
      <w:r w:rsidRPr="00303A59">
        <w:t xml:space="preserve">frequent itemset without using candidate generations. </w:t>
      </w:r>
      <w:r w:rsidR="0071726F">
        <w:t>The</w:t>
      </w:r>
      <w:r w:rsidR="003D5BD6">
        <w:t xml:space="preserve"> algorithm </w:t>
      </w:r>
      <w:r w:rsidR="0071726F">
        <w:t xml:space="preserve">will </w:t>
      </w:r>
      <w:r w:rsidR="003D5BD6">
        <w:t>first</w:t>
      </w:r>
      <w:r w:rsidR="0071726F">
        <w:t>ly</w:t>
      </w:r>
      <w:r w:rsidR="003D5BD6">
        <w:t xml:space="preserve"> compress the input database</w:t>
      </w:r>
      <w:r w:rsidR="0071726F">
        <w:t xml:space="preserve"> </w:t>
      </w:r>
      <w:r w:rsidR="008844BB">
        <w:t>before</w:t>
      </w:r>
      <w:r w:rsidR="003D5BD6">
        <w:t xml:space="preserve"> creat</w:t>
      </w:r>
      <w:r w:rsidR="008844BB">
        <w:t>ing</w:t>
      </w:r>
      <w:r w:rsidR="003D5BD6">
        <w:t xml:space="preserve"> an FP-tree instance</w:t>
      </w:r>
      <w:r w:rsidR="008844BB">
        <w:t xml:space="preserve"> representing</w:t>
      </w:r>
      <w:r w:rsidR="003D5BD6">
        <w:t xml:space="preserve"> frequent items. </w:t>
      </w:r>
      <w:r w:rsidR="008844BB">
        <w:t>Then,</w:t>
      </w:r>
      <w:r w:rsidR="003D5BD6">
        <w:t xml:space="preserve"> </w:t>
      </w:r>
      <w:r w:rsidR="008844BB">
        <w:t>the</w:t>
      </w:r>
      <w:r w:rsidR="003D5BD6">
        <w:t xml:space="preserve"> compressed database</w:t>
      </w:r>
      <w:r w:rsidR="008844BB">
        <w:t xml:space="preserve"> is divided</w:t>
      </w:r>
      <w:r w:rsidR="003D5BD6">
        <w:t xml:space="preserve"> into a set of conditional databases</w:t>
      </w:r>
      <w:r w:rsidR="008844BB">
        <w:t xml:space="preserve"> where</w:t>
      </w:r>
      <w:r w:rsidR="003D5BD6">
        <w:t xml:space="preserve"> each one </w:t>
      </w:r>
      <w:r w:rsidR="008844BB">
        <w:t xml:space="preserve">is </w:t>
      </w:r>
      <w:r w:rsidR="003D5BD6">
        <w:t>associate</w:t>
      </w:r>
      <w:r w:rsidR="008844BB">
        <w:t>d</w:t>
      </w:r>
      <w:r w:rsidR="003D5BD6">
        <w:t xml:space="preserve"> with one frequent pattern. Finally, </w:t>
      </w:r>
      <w:r w:rsidR="008844BB">
        <w:t>each of those conditional database will be</w:t>
      </w:r>
      <w:r w:rsidR="003D5BD6">
        <w:t xml:space="preserve"> mined separately. </w:t>
      </w:r>
      <w:r w:rsidR="00E62621">
        <w:t xml:space="preserve">A unique important feature of FP Growth is that it computes short patterns recursively and separately before adding all of them up into one long frequent patterns. </w:t>
      </w:r>
      <w:r w:rsidR="003D5BD6">
        <w:t xml:space="preserve">Using this strategy, </w:t>
      </w:r>
      <w:r w:rsidR="008844BB">
        <w:t>FP-Growth algorithm manages to</w:t>
      </w:r>
      <w:r w:rsidR="003D5BD6">
        <w:t xml:space="preserve"> reduce search costs </w:t>
      </w:r>
      <w:r w:rsidR="008844BB">
        <w:t>by searching for frequent pattern</w:t>
      </w:r>
      <w:r w:rsidR="003D5BD6">
        <w:t>.</w:t>
      </w:r>
    </w:p>
    <w:p w:rsidR="003D5BD6" w:rsidRDefault="003D5BD6" w:rsidP="00DF0079"/>
    <w:p w:rsidR="00DF0079" w:rsidRDefault="00DF0079" w:rsidP="007C6A7A"/>
    <w:p w:rsidR="004D1930" w:rsidRDefault="005D02F0" w:rsidP="005D02F0">
      <w:pPr>
        <w:pStyle w:val="Heading1"/>
        <w:numPr>
          <w:ilvl w:val="0"/>
          <w:numId w:val="39"/>
        </w:numPr>
      </w:pPr>
      <w:r w:rsidRPr="005D02F0">
        <w:t>Results</w:t>
      </w:r>
    </w:p>
    <w:p w:rsidR="005D02F0" w:rsidRDefault="008538B8" w:rsidP="005D02F0">
      <w:pPr>
        <w:pStyle w:val="Bullet"/>
        <w:numPr>
          <w:ilvl w:val="0"/>
          <w:numId w:val="0"/>
        </w:numPr>
        <w:contextualSpacing/>
      </w:pPr>
      <w:r w:rsidRPr="008538B8">
        <w:t>To test our results, we follow cross validation when checking our</w:t>
      </w:r>
      <w:r w:rsidR="00923612">
        <w:t xml:space="preserve"> </w:t>
      </w:r>
      <w:r w:rsidRPr="008538B8">
        <w:t>performance with several evaluation metrics. Specifically, we break the Yelp dataset into two chunks</w:t>
      </w:r>
      <w:r w:rsidR="00923612">
        <w:t xml:space="preserve"> </w:t>
      </w:r>
      <w:r w:rsidRPr="008538B8">
        <w:t xml:space="preserve">of </w:t>
      </w:r>
      <w:r w:rsidR="00B65D7F">
        <w:t>8</w:t>
      </w:r>
      <w:r w:rsidRPr="008538B8">
        <w:t xml:space="preserve">0% and </w:t>
      </w:r>
      <w:r w:rsidR="00B65D7F">
        <w:t>2</w:t>
      </w:r>
      <w:r w:rsidRPr="008538B8">
        <w:t xml:space="preserve">0% each. The first set of </w:t>
      </w:r>
      <w:r w:rsidR="00B65D7F">
        <w:t>8</w:t>
      </w:r>
      <w:r w:rsidRPr="008538B8">
        <w:t xml:space="preserve">0% is used to train the system and the second set of </w:t>
      </w:r>
      <w:r w:rsidR="00B65D7F">
        <w:t>2</w:t>
      </w:r>
      <w:r w:rsidRPr="008538B8">
        <w:t xml:space="preserve">0% </w:t>
      </w:r>
      <w:r w:rsidR="00923612">
        <w:t>issued</w:t>
      </w:r>
      <w:r w:rsidRPr="008538B8">
        <w:t xml:space="preserve"> to test the syste</w:t>
      </w:r>
      <w:r w:rsidR="00923612">
        <w:t>m</w:t>
      </w:r>
      <w:r w:rsidRPr="008538B8">
        <w:t>.</w:t>
      </w:r>
      <w:r w:rsidR="00923612">
        <w:t xml:space="preserve"> </w:t>
      </w:r>
      <w:r w:rsidRPr="008538B8">
        <w:t>F</w:t>
      </w:r>
      <w:r w:rsidR="00923612">
        <w:t>o</w:t>
      </w:r>
      <w:r w:rsidRPr="008538B8">
        <w:t>r evaluation metrics,  popular metrics</w:t>
      </w:r>
      <w:r w:rsidR="00B65D7F">
        <w:t xml:space="preserve"> are</w:t>
      </w:r>
      <w:r w:rsidRPr="008538B8">
        <w:t xml:space="preserve"> used to measure the performance of r</w:t>
      </w:r>
      <w:r w:rsidR="00923612">
        <w:t>ecommendation</w:t>
      </w:r>
      <w:r w:rsidRPr="008538B8">
        <w:t xml:space="preserve"> systems where a user gives an item a rating are</w:t>
      </w:r>
      <w:r w:rsidR="00923612">
        <w:t xml:space="preserve"> </w:t>
      </w:r>
      <w:r w:rsidRPr="008538B8">
        <w:t>Root Mean Squared Error (RMSE)</w:t>
      </w:r>
      <w:r w:rsidR="00923612">
        <w:t xml:space="preserve"> </w:t>
      </w:r>
      <w:r w:rsidRPr="008538B8">
        <w:t>and</w:t>
      </w:r>
      <w:r w:rsidR="00923612">
        <w:t xml:space="preserve"> </w:t>
      </w:r>
      <w:r w:rsidRPr="008538B8">
        <w:t>Mean Absolute Error (MAE)</w:t>
      </w:r>
    </w:p>
    <w:p w:rsidR="00F629EE" w:rsidRDefault="00F629EE" w:rsidP="005D02F0">
      <w:pPr>
        <w:pStyle w:val="Bullet"/>
        <w:numPr>
          <w:ilvl w:val="0"/>
          <w:numId w:val="0"/>
        </w:numPr>
        <w:contextualSpacing/>
      </w:pPr>
      <w:bookmarkStart w:id="0" w:name="_GoBack"/>
      <w:bookmarkEnd w:id="0"/>
    </w:p>
    <w:p w:rsidR="00280F2A" w:rsidRDefault="00280F2A" w:rsidP="005D02F0">
      <w:pPr>
        <w:pStyle w:val="Bullet"/>
        <w:numPr>
          <w:ilvl w:val="0"/>
          <w:numId w:val="0"/>
        </w:numPr>
        <w:contextualSpacing/>
      </w:pPr>
    </w:p>
    <w:tbl>
      <w:tblPr>
        <w:tblStyle w:val="TableGrid"/>
        <w:tblW w:w="0" w:type="auto"/>
        <w:tblLook w:val="04A0" w:firstRow="1" w:lastRow="0" w:firstColumn="1" w:lastColumn="0" w:noHBand="0" w:noVBand="1"/>
      </w:tblPr>
      <w:tblGrid>
        <w:gridCol w:w="2583"/>
        <w:gridCol w:w="2583"/>
        <w:gridCol w:w="2585"/>
      </w:tblGrid>
      <w:tr w:rsidR="00F629EE" w:rsidTr="00F629EE">
        <w:trPr>
          <w:trHeight w:val="72"/>
        </w:trPr>
        <w:tc>
          <w:tcPr>
            <w:tcW w:w="7751" w:type="dxa"/>
            <w:gridSpan w:val="3"/>
          </w:tcPr>
          <w:p w:rsidR="00F629EE" w:rsidRPr="00F629EE" w:rsidRDefault="00F629EE" w:rsidP="00F629EE">
            <w:pPr>
              <w:spacing w:after="0"/>
              <w:jc w:val="center"/>
              <w:rPr>
                <w:rFonts w:ascii="Calibri" w:hAnsi="Calibri" w:cs="Calibri"/>
                <w:b/>
                <w:bCs/>
                <w:color w:val="000000"/>
              </w:rPr>
            </w:pPr>
            <w:r>
              <w:rPr>
                <w:rFonts w:ascii="Calibri" w:hAnsi="Calibri" w:cs="Calibri"/>
                <w:b/>
                <w:bCs/>
                <w:color w:val="000000"/>
              </w:rPr>
              <w:t>when distance = 3km and rank = 70</w:t>
            </w:r>
          </w:p>
        </w:tc>
      </w:tr>
      <w:tr w:rsidR="00F629EE" w:rsidTr="00F629EE">
        <w:trPr>
          <w:trHeight w:val="76"/>
        </w:trPr>
        <w:tc>
          <w:tcPr>
            <w:tcW w:w="2583" w:type="dxa"/>
          </w:tcPr>
          <w:p w:rsidR="00F629EE" w:rsidRDefault="00F629EE" w:rsidP="00F629EE">
            <w:pPr>
              <w:pStyle w:val="Bullet"/>
              <w:numPr>
                <w:ilvl w:val="0"/>
                <w:numId w:val="0"/>
              </w:numPr>
              <w:contextualSpacing/>
              <w:jc w:val="center"/>
            </w:pPr>
          </w:p>
        </w:tc>
        <w:tc>
          <w:tcPr>
            <w:tcW w:w="2583" w:type="dxa"/>
          </w:tcPr>
          <w:p w:rsidR="00F629EE" w:rsidRDefault="00F629EE" w:rsidP="00F629EE">
            <w:pPr>
              <w:pStyle w:val="Bullet"/>
              <w:numPr>
                <w:ilvl w:val="0"/>
                <w:numId w:val="0"/>
              </w:numPr>
              <w:contextualSpacing/>
              <w:jc w:val="center"/>
            </w:pPr>
            <w:r>
              <w:t>RMSE</w:t>
            </w:r>
          </w:p>
        </w:tc>
        <w:tc>
          <w:tcPr>
            <w:tcW w:w="2584" w:type="dxa"/>
          </w:tcPr>
          <w:p w:rsidR="00F629EE" w:rsidRDefault="00F629EE" w:rsidP="00F629EE">
            <w:pPr>
              <w:pStyle w:val="Bullet"/>
              <w:numPr>
                <w:ilvl w:val="0"/>
                <w:numId w:val="0"/>
              </w:numPr>
              <w:contextualSpacing/>
              <w:jc w:val="center"/>
            </w:pPr>
            <w:r>
              <w:t>MAE</w:t>
            </w:r>
          </w:p>
        </w:tc>
      </w:tr>
      <w:tr w:rsidR="00F629EE" w:rsidTr="00F629EE">
        <w:trPr>
          <w:trHeight w:val="167"/>
        </w:trPr>
        <w:tc>
          <w:tcPr>
            <w:tcW w:w="2583" w:type="dxa"/>
          </w:tcPr>
          <w:p w:rsidR="00F629EE" w:rsidRDefault="00F629EE" w:rsidP="00F629EE">
            <w:pPr>
              <w:pStyle w:val="Bullet"/>
              <w:numPr>
                <w:ilvl w:val="0"/>
                <w:numId w:val="0"/>
              </w:numPr>
              <w:contextualSpacing/>
              <w:jc w:val="center"/>
            </w:pPr>
            <w:r w:rsidRPr="00F629EE">
              <w:t xml:space="preserve">basic </w:t>
            </w:r>
            <w:proofErr w:type="spellStart"/>
            <w:r w:rsidRPr="00F629EE">
              <w:t>als</w:t>
            </w:r>
            <w:proofErr w:type="spellEnd"/>
            <w:r w:rsidRPr="00F629EE">
              <w:t xml:space="preserve"> recommender</w:t>
            </w:r>
          </w:p>
        </w:tc>
        <w:tc>
          <w:tcPr>
            <w:tcW w:w="2583" w:type="dxa"/>
          </w:tcPr>
          <w:p w:rsidR="00F629EE" w:rsidRPr="00F629EE" w:rsidRDefault="00F629EE" w:rsidP="00F629EE">
            <w:pPr>
              <w:spacing w:after="0"/>
              <w:jc w:val="center"/>
              <w:rPr>
                <w:rFonts w:ascii="Calibri" w:hAnsi="Calibri" w:cs="Calibri"/>
                <w:color w:val="000000"/>
              </w:rPr>
            </w:pPr>
            <w:r>
              <w:rPr>
                <w:rFonts w:ascii="Calibri" w:hAnsi="Calibri" w:cs="Calibri"/>
                <w:color w:val="000000"/>
              </w:rPr>
              <w:t>2.127391175</w:t>
            </w:r>
          </w:p>
        </w:tc>
        <w:tc>
          <w:tcPr>
            <w:tcW w:w="2584" w:type="dxa"/>
            <w:vAlign w:val="bottom"/>
          </w:tcPr>
          <w:p w:rsidR="00F629EE" w:rsidRDefault="00F629EE" w:rsidP="00F629EE">
            <w:pPr>
              <w:spacing w:after="0"/>
              <w:jc w:val="center"/>
              <w:rPr>
                <w:rFonts w:ascii="Calibri" w:hAnsi="Calibri" w:cs="Calibri"/>
                <w:color w:val="000000"/>
              </w:rPr>
            </w:pPr>
            <w:r>
              <w:rPr>
                <w:rFonts w:ascii="Calibri" w:hAnsi="Calibri" w:cs="Calibri"/>
                <w:color w:val="000000"/>
              </w:rPr>
              <w:t>1.722178277</w:t>
            </w:r>
          </w:p>
        </w:tc>
      </w:tr>
      <w:tr w:rsidR="00F629EE" w:rsidTr="00F629EE">
        <w:trPr>
          <w:trHeight w:val="117"/>
        </w:trPr>
        <w:tc>
          <w:tcPr>
            <w:tcW w:w="2583" w:type="dxa"/>
          </w:tcPr>
          <w:p w:rsidR="00F629EE" w:rsidRPr="00F629EE" w:rsidRDefault="00F629EE" w:rsidP="00F629EE">
            <w:pPr>
              <w:spacing w:after="0"/>
              <w:jc w:val="center"/>
              <w:rPr>
                <w:rFonts w:ascii="Calibri" w:hAnsi="Calibri" w:cs="Calibri"/>
                <w:color w:val="000000"/>
              </w:rPr>
            </w:pPr>
            <w:r>
              <w:rPr>
                <w:rFonts w:ascii="Calibri" w:hAnsi="Calibri" w:cs="Calibri"/>
                <w:color w:val="000000"/>
              </w:rPr>
              <w:t xml:space="preserve">global average </w:t>
            </w:r>
            <w:proofErr w:type="spellStart"/>
            <w:r>
              <w:rPr>
                <w:rFonts w:ascii="Calibri" w:hAnsi="Calibri" w:cs="Calibri"/>
                <w:color w:val="000000"/>
              </w:rPr>
              <w:t>recommende</w:t>
            </w:r>
            <w:proofErr w:type="spellEnd"/>
          </w:p>
        </w:tc>
        <w:tc>
          <w:tcPr>
            <w:tcW w:w="2583" w:type="dxa"/>
            <w:vAlign w:val="bottom"/>
          </w:tcPr>
          <w:p w:rsidR="00F629EE" w:rsidRDefault="00F629EE" w:rsidP="00F629EE">
            <w:pPr>
              <w:spacing w:after="0"/>
              <w:jc w:val="center"/>
              <w:rPr>
                <w:rFonts w:ascii="Calibri" w:hAnsi="Calibri" w:cs="Calibri"/>
                <w:color w:val="000000"/>
              </w:rPr>
            </w:pPr>
            <w:r>
              <w:rPr>
                <w:rFonts w:ascii="Calibri" w:hAnsi="Calibri" w:cs="Calibri"/>
                <w:color w:val="000000"/>
              </w:rPr>
              <w:t>1.435300565</w:t>
            </w:r>
          </w:p>
        </w:tc>
        <w:tc>
          <w:tcPr>
            <w:tcW w:w="2584" w:type="dxa"/>
            <w:vAlign w:val="bottom"/>
          </w:tcPr>
          <w:p w:rsidR="00F629EE" w:rsidRDefault="00F629EE" w:rsidP="00F629EE">
            <w:pPr>
              <w:jc w:val="center"/>
              <w:rPr>
                <w:rFonts w:ascii="Calibri" w:hAnsi="Calibri" w:cs="Calibri"/>
                <w:color w:val="000000"/>
              </w:rPr>
            </w:pPr>
            <w:r>
              <w:rPr>
                <w:rFonts w:ascii="Calibri" w:hAnsi="Calibri" w:cs="Calibri"/>
                <w:color w:val="000000"/>
              </w:rPr>
              <w:t>1.242512298</w:t>
            </w:r>
          </w:p>
        </w:tc>
      </w:tr>
      <w:tr w:rsidR="00F629EE" w:rsidTr="00F629EE">
        <w:trPr>
          <w:trHeight w:val="218"/>
        </w:trPr>
        <w:tc>
          <w:tcPr>
            <w:tcW w:w="2583" w:type="dxa"/>
          </w:tcPr>
          <w:p w:rsidR="00F629EE" w:rsidRDefault="00F629EE" w:rsidP="00F629EE">
            <w:pPr>
              <w:spacing w:after="0"/>
              <w:jc w:val="center"/>
              <w:rPr>
                <w:rFonts w:ascii="Calibri" w:hAnsi="Calibri" w:cs="Calibri"/>
                <w:color w:val="000000"/>
              </w:rPr>
            </w:pPr>
            <w:proofErr w:type="spellStart"/>
            <w:r>
              <w:rPr>
                <w:rFonts w:ascii="Calibri" w:hAnsi="Calibri" w:cs="Calibri"/>
                <w:color w:val="000000"/>
              </w:rPr>
              <w:t>als</w:t>
            </w:r>
            <w:proofErr w:type="spellEnd"/>
            <w:r>
              <w:rPr>
                <w:rFonts w:ascii="Calibri" w:hAnsi="Calibri" w:cs="Calibri"/>
                <w:color w:val="000000"/>
              </w:rPr>
              <w:t xml:space="preserve"> with bias recommender</w:t>
            </w:r>
          </w:p>
          <w:p w:rsidR="00F629EE" w:rsidRDefault="00F629EE" w:rsidP="00F629EE">
            <w:pPr>
              <w:pStyle w:val="Bullet"/>
              <w:numPr>
                <w:ilvl w:val="0"/>
                <w:numId w:val="0"/>
              </w:numPr>
              <w:contextualSpacing/>
              <w:jc w:val="center"/>
            </w:pPr>
          </w:p>
        </w:tc>
        <w:tc>
          <w:tcPr>
            <w:tcW w:w="2583" w:type="dxa"/>
            <w:vAlign w:val="bottom"/>
          </w:tcPr>
          <w:p w:rsidR="00F629EE" w:rsidRDefault="00F629EE" w:rsidP="00F629EE">
            <w:pPr>
              <w:jc w:val="center"/>
              <w:rPr>
                <w:rFonts w:ascii="Calibri" w:hAnsi="Calibri" w:cs="Calibri"/>
                <w:color w:val="000000"/>
              </w:rPr>
            </w:pPr>
            <w:r>
              <w:rPr>
                <w:rFonts w:ascii="Calibri" w:hAnsi="Calibri" w:cs="Calibri"/>
                <w:color w:val="000000"/>
              </w:rPr>
              <w:t>3.042489076</w:t>
            </w:r>
          </w:p>
        </w:tc>
        <w:tc>
          <w:tcPr>
            <w:tcW w:w="2584" w:type="dxa"/>
            <w:vAlign w:val="bottom"/>
          </w:tcPr>
          <w:p w:rsidR="00F629EE" w:rsidRDefault="00F629EE" w:rsidP="00F629EE">
            <w:pPr>
              <w:jc w:val="center"/>
              <w:rPr>
                <w:rFonts w:ascii="Calibri" w:hAnsi="Calibri" w:cs="Calibri"/>
                <w:color w:val="000000"/>
              </w:rPr>
            </w:pPr>
            <w:r>
              <w:rPr>
                <w:rFonts w:ascii="Calibri" w:hAnsi="Calibri" w:cs="Calibri"/>
                <w:color w:val="000000"/>
              </w:rPr>
              <w:t>2.554701563</w:t>
            </w:r>
          </w:p>
        </w:tc>
      </w:tr>
    </w:tbl>
    <w:p w:rsidR="00F629EE" w:rsidRDefault="00F629EE" w:rsidP="00F629EE">
      <w:pPr>
        <w:pStyle w:val="Bullet"/>
        <w:numPr>
          <w:ilvl w:val="0"/>
          <w:numId w:val="0"/>
        </w:numPr>
        <w:contextualSpacing/>
      </w:pPr>
    </w:p>
    <w:tbl>
      <w:tblPr>
        <w:tblStyle w:val="TableGrid"/>
        <w:tblW w:w="0" w:type="auto"/>
        <w:tblLook w:val="04A0" w:firstRow="1" w:lastRow="0" w:firstColumn="1" w:lastColumn="0" w:noHBand="0" w:noVBand="1"/>
      </w:tblPr>
      <w:tblGrid>
        <w:gridCol w:w="2583"/>
        <w:gridCol w:w="2583"/>
        <w:gridCol w:w="2585"/>
      </w:tblGrid>
      <w:tr w:rsidR="00F629EE" w:rsidTr="00016D89">
        <w:trPr>
          <w:trHeight w:val="72"/>
        </w:trPr>
        <w:tc>
          <w:tcPr>
            <w:tcW w:w="7751" w:type="dxa"/>
            <w:gridSpan w:val="3"/>
          </w:tcPr>
          <w:p w:rsidR="00F629EE" w:rsidRPr="00F629EE" w:rsidRDefault="00F629EE" w:rsidP="00016D89">
            <w:pPr>
              <w:spacing w:after="0"/>
              <w:jc w:val="center"/>
              <w:rPr>
                <w:rFonts w:ascii="Calibri" w:hAnsi="Calibri" w:cs="Calibri"/>
                <w:b/>
                <w:bCs/>
                <w:color w:val="000000"/>
              </w:rPr>
            </w:pPr>
            <w:r>
              <w:rPr>
                <w:rFonts w:ascii="Calibri" w:hAnsi="Calibri" w:cs="Calibri"/>
                <w:b/>
                <w:bCs/>
                <w:color w:val="000000"/>
              </w:rPr>
              <w:t>when distance = 5km and rank = 70</w:t>
            </w:r>
          </w:p>
        </w:tc>
      </w:tr>
      <w:tr w:rsidR="00F629EE" w:rsidTr="00F629EE">
        <w:trPr>
          <w:trHeight w:val="76"/>
        </w:trPr>
        <w:tc>
          <w:tcPr>
            <w:tcW w:w="2583" w:type="dxa"/>
          </w:tcPr>
          <w:p w:rsidR="00F629EE" w:rsidRDefault="00F629EE" w:rsidP="00F629EE">
            <w:pPr>
              <w:pStyle w:val="Bullet"/>
              <w:numPr>
                <w:ilvl w:val="0"/>
                <w:numId w:val="0"/>
              </w:numPr>
              <w:contextualSpacing/>
              <w:jc w:val="center"/>
            </w:pPr>
          </w:p>
        </w:tc>
        <w:tc>
          <w:tcPr>
            <w:tcW w:w="2583" w:type="dxa"/>
          </w:tcPr>
          <w:p w:rsidR="00F629EE" w:rsidRDefault="00F629EE" w:rsidP="00F629EE">
            <w:pPr>
              <w:pStyle w:val="Bullet"/>
              <w:numPr>
                <w:ilvl w:val="0"/>
                <w:numId w:val="0"/>
              </w:numPr>
              <w:contextualSpacing/>
              <w:jc w:val="center"/>
            </w:pPr>
            <w:r>
              <w:t>RMSE</w:t>
            </w:r>
          </w:p>
        </w:tc>
        <w:tc>
          <w:tcPr>
            <w:tcW w:w="2585" w:type="dxa"/>
          </w:tcPr>
          <w:p w:rsidR="00F629EE" w:rsidRDefault="00F629EE" w:rsidP="00F629EE">
            <w:pPr>
              <w:pStyle w:val="Bullet"/>
              <w:numPr>
                <w:ilvl w:val="0"/>
                <w:numId w:val="0"/>
              </w:numPr>
              <w:contextualSpacing/>
              <w:jc w:val="center"/>
            </w:pPr>
            <w:r>
              <w:t>MAE</w:t>
            </w:r>
          </w:p>
        </w:tc>
      </w:tr>
      <w:tr w:rsidR="00F629EE" w:rsidTr="00F629EE">
        <w:trPr>
          <w:trHeight w:val="167"/>
        </w:trPr>
        <w:tc>
          <w:tcPr>
            <w:tcW w:w="2583" w:type="dxa"/>
          </w:tcPr>
          <w:p w:rsidR="00F629EE" w:rsidRDefault="00F629EE" w:rsidP="00F629EE">
            <w:pPr>
              <w:pStyle w:val="Bullet"/>
              <w:numPr>
                <w:ilvl w:val="0"/>
                <w:numId w:val="0"/>
              </w:numPr>
              <w:contextualSpacing/>
              <w:jc w:val="center"/>
            </w:pPr>
            <w:r w:rsidRPr="00F629EE">
              <w:t xml:space="preserve">basic </w:t>
            </w:r>
            <w:proofErr w:type="spellStart"/>
            <w:r w:rsidRPr="00F629EE">
              <w:t>als</w:t>
            </w:r>
            <w:proofErr w:type="spellEnd"/>
            <w:r w:rsidRPr="00F629EE">
              <w:t xml:space="preserve"> recommender</w:t>
            </w:r>
          </w:p>
        </w:tc>
        <w:tc>
          <w:tcPr>
            <w:tcW w:w="2583" w:type="dxa"/>
            <w:vAlign w:val="bottom"/>
          </w:tcPr>
          <w:p w:rsidR="00F629EE" w:rsidRDefault="00F629EE" w:rsidP="00F629EE">
            <w:pPr>
              <w:spacing w:after="0"/>
              <w:jc w:val="center"/>
              <w:rPr>
                <w:rFonts w:ascii="Calibri" w:hAnsi="Calibri" w:cs="Calibri"/>
                <w:color w:val="000000"/>
              </w:rPr>
            </w:pPr>
            <w:r>
              <w:rPr>
                <w:rFonts w:ascii="Calibri" w:hAnsi="Calibri" w:cs="Calibri"/>
                <w:color w:val="000000"/>
              </w:rPr>
              <w:t>2.147847095</w:t>
            </w:r>
          </w:p>
        </w:tc>
        <w:tc>
          <w:tcPr>
            <w:tcW w:w="2585" w:type="dxa"/>
            <w:vAlign w:val="bottom"/>
          </w:tcPr>
          <w:p w:rsidR="00F629EE" w:rsidRDefault="00F629EE" w:rsidP="00F629EE">
            <w:pPr>
              <w:spacing w:after="0"/>
              <w:jc w:val="center"/>
              <w:rPr>
                <w:rFonts w:ascii="Calibri" w:hAnsi="Calibri" w:cs="Calibri"/>
                <w:color w:val="000000"/>
              </w:rPr>
            </w:pPr>
            <w:r>
              <w:rPr>
                <w:rFonts w:ascii="Calibri" w:hAnsi="Calibri" w:cs="Calibri"/>
                <w:color w:val="000000"/>
              </w:rPr>
              <w:t>1.717569799</w:t>
            </w:r>
          </w:p>
        </w:tc>
      </w:tr>
      <w:tr w:rsidR="00F629EE" w:rsidTr="00F629EE">
        <w:trPr>
          <w:trHeight w:val="117"/>
        </w:trPr>
        <w:tc>
          <w:tcPr>
            <w:tcW w:w="2583" w:type="dxa"/>
          </w:tcPr>
          <w:p w:rsidR="00F629EE" w:rsidRPr="00F629EE" w:rsidRDefault="00F629EE" w:rsidP="00F629EE">
            <w:pPr>
              <w:spacing w:after="0"/>
              <w:jc w:val="center"/>
              <w:rPr>
                <w:rFonts w:ascii="Calibri" w:hAnsi="Calibri" w:cs="Calibri"/>
                <w:color w:val="000000"/>
              </w:rPr>
            </w:pPr>
            <w:r>
              <w:rPr>
                <w:rFonts w:ascii="Calibri" w:hAnsi="Calibri" w:cs="Calibri"/>
                <w:color w:val="000000"/>
              </w:rPr>
              <w:t xml:space="preserve">global average </w:t>
            </w:r>
            <w:proofErr w:type="spellStart"/>
            <w:r>
              <w:rPr>
                <w:rFonts w:ascii="Calibri" w:hAnsi="Calibri" w:cs="Calibri"/>
                <w:color w:val="000000"/>
              </w:rPr>
              <w:t>recommende</w:t>
            </w:r>
            <w:proofErr w:type="spellEnd"/>
          </w:p>
        </w:tc>
        <w:tc>
          <w:tcPr>
            <w:tcW w:w="2583" w:type="dxa"/>
            <w:vAlign w:val="bottom"/>
          </w:tcPr>
          <w:p w:rsidR="00F629EE" w:rsidRDefault="00F629EE" w:rsidP="00F629EE">
            <w:pPr>
              <w:jc w:val="center"/>
              <w:rPr>
                <w:rFonts w:ascii="Calibri" w:hAnsi="Calibri" w:cs="Calibri"/>
                <w:color w:val="000000"/>
              </w:rPr>
            </w:pPr>
            <w:r>
              <w:rPr>
                <w:rFonts w:ascii="Calibri" w:hAnsi="Calibri" w:cs="Calibri"/>
                <w:color w:val="000000"/>
              </w:rPr>
              <w:t>1.435300565</w:t>
            </w:r>
          </w:p>
        </w:tc>
        <w:tc>
          <w:tcPr>
            <w:tcW w:w="2585" w:type="dxa"/>
            <w:vAlign w:val="bottom"/>
          </w:tcPr>
          <w:p w:rsidR="00F629EE" w:rsidRDefault="00F629EE" w:rsidP="00F629EE">
            <w:pPr>
              <w:jc w:val="center"/>
              <w:rPr>
                <w:rFonts w:ascii="Calibri" w:hAnsi="Calibri" w:cs="Calibri"/>
                <w:color w:val="000000"/>
              </w:rPr>
            </w:pPr>
            <w:r>
              <w:rPr>
                <w:rFonts w:ascii="Calibri" w:hAnsi="Calibri" w:cs="Calibri"/>
                <w:color w:val="000000"/>
              </w:rPr>
              <w:t>1.242512298</w:t>
            </w:r>
          </w:p>
        </w:tc>
      </w:tr>
    </w:tbl>
    <w:p w:rsidR="00F629EE" w:rsidRDefault="00F629EE" w:rsidP="00F629EE">
      <w:pPr>
        <w:pStyle w:val="Bullet"/>
        <w:numPr>
          <w:ilvl w:val="0"/>
          <w:numId w:val="0"/>
        </w:numPr>
        <w:contextualSpacing/>
      </w:pPr>
    </w:p>
    <w:tbl>
      <w:tblPr>
        <w:tblStyle w:val="TableGrid"/>
        <w:tblW w:w="0" w:type="auto"/>
        <w:tblLook w:val="04A0" w:firstRow="1" w:lastRow="0" w:firstColumn="1" w:lastColumn="0" w:noHBand="0" w:noVBand="1"/>
      </w:tblPr>
      <w:tblGrid>
        <w:gridCol w:w="2583"/>
        <w:gridCol w:w="2583"/>
        <w:gridCol w:w="2585"/>
      </w:tblGrid>
      <w:tr w:rsidR="00F629EE" w:rsidTr="00016D89">
        <w:trPr>
          <w:trHeight w:val="72"/>
        </w:trPr>
        <w:tc>
          <w:tcPr>
            <w:tcW w:w="7751" w:type="dxa"/>
            <w:gridSpan w:val="3"/>
          </w:tcPr>
          <w:p w:rsidR="00F629EE" w:rsidRPr="00F629EE" w:rsidRDefault="00F629EE" w:rsidP="00F629EE">
            <w:pPr>
              <w:spacing w:after="0"/>
              <w:jc w:val="center"/>
              <w:rPr>
                <w:rFonts w:ascii="Calibri" w:hAnsi="Calibri" w:cs="Calibri"/>
                <w:b/>
                <w:bCs/>
                <w:color w:val="000000"/>
              </w:rPr>
            </w:pPr>
            <w:r>
              <w:rPr>
                <w:rFonts w:ascii="Calibri" w:hAnsi="Calibri" w:cs="Calibri"/>
                <w:b/>
                <w:bCs/>
                <w:color w:val="000000"/>
              </w:rPr>
              <w:t>when distance = 10km and rank = 70</w:t>
            </w:r>
          </w:p>
        </w:tc>
      </w:tr>
      <w:tr w:rsidR="00F629EE" w:rsidTr="00F629EE">
        <w:trPr>
          <w:trHeight w:val="76"/>
        </w:trPr>
        <w:tc>
          <w:tcPr>
            <w:tcW w:w="2583" w:type="dxa"/>
          </w:tcPr>
          <w:p w:rsidR="00F629EE" w:rsidRDefault="00F629EE" w:rsidP="00F629EE">
            <w:pPr>
              <w:pStyle w:val="Bullet"/>
              <w:numPr>
                <w:ilvl w:val="0"/>
                <w:numId w:val="0"/>
              </w:numPr>
              <w:contextualSpacing/>
              <w:jc w:val="center"/>
            </w:pPr>
          </w:p>
        </w:tc>
        <w:tc>
          <w:tcPr>
            <w:tcW w:w="2583" w:type="dxa"/>
          </w:tcPr>
          <w:p w:rsidR="00F629EE" w:rsidRDefault="00F629EE" w:rsidP="00F629EE">
            <w:pPr>
              <w:pStyle w:val="Bullet"/>
              <w:numPr>
                <w:ilvl w:val="0"/>
                <w:numId w:val="0"/>
              </w:numPr>
              <w:contextualSpacing/>
              <w:jc w:val="center"/>
            </w:pPr>
            <w:r>
              <w:t>RMSE</w:t>
            </w:r>
          </w:p>
        </w:tc>
        <w:tc>
          <w:tcPr>
            <w:tcW w:w="2585" w:type="dxa"/>
          </w:tcPr>
          <w:p w:rsidR="00F629EE" w:rsidRDefault="00F629EE" w:rsidP="00F629EE">
            <w:pPr>
              <w:pStyle w:val="Bullet"/>
              <w:numPr>
                <w:ilvl w:val="0"/>
                <w:numId w:val="0"/>
              </w:numPr>
              <w:contextualSpacing/>
              <w:jc w:val="center"/>
            </w:pPr>
            <w:r>
              <w:t>MAE</w:t>
            </w:r>
          </w:p>
        </w:tc>
      </w:tr>
      <w:tr w:rsidR="00F629EE" w:rsidTr="00F629EE">
        <w:trPr>
          <w:trHeight w:val="167"/>
        </w:trPr>
        <w:tc>
          <w:tcPr>
            <w:tcW w:w="2583" w:type="dxa"/>
          </w:tcPr>
          <w:p w:rsidR="00F629EE" w:rsidRDefault="00F629EE" w:rsidP="00F629EE">
            <w:pPr>
              <w:pStyle w:val="Bullet"/>
              <w:numPr>
                <w:ilvl w:val="0"/>
                <w:numId w:val="0"/>
              </w:numPr>
              <w:contextualSpacing/>
              <w:jc w:val="center"/>
            </w:pPr>
            <w:r w:rsidRPr="00F629EE">
              <w:t xml:space="preserve">basic </w:t>
            </w:r>
            <w:proofErr w:type="spellStart"/>
            <w:r w:rsidRPr="00F629EE">
              <w:t>als</w:t>
            </w:r>
            <w:proofErr w:type="spellEnd"/>
            <w:r w:rsidRPr="00F629EE">
              <w:t xml:space="preserve"> recommender</w:t>
            </w:r>
          </w:p>
        </w:tc>
        <w:tc>
          <w:tcPr>
            <w:tcW w:w="2583" w:type="dxa"/>
            <w:vAlign w:val="bottom"/>
          </w:tcPr>
          <w:p w:rsidR="00F629EE" w:rsidRDefault="00F629EE" w:rsidP="00F629EE">
            <w:pPr>
              <w:spacing w:after="0"/>
              <w:jc w:val="center"/>
              <w:rPr>
                <w:rFonts w:ascii="Calibri" w:hAnsi="Calibri" w:cs="Calibri"/>
                <w:color w:val="000000"/>
              </w:rPr>
            </w:pPr>
            <w:r>
              <w:rPr>
                <w:rFonts w:ascii="Calibri" w:hAnsi="Calibri" w:cs="Calibri"/>
                <w:color w:val="000000"/>
              </w:rPr>
              <w:t>1.852597978</w:t>
            </w:r>
          </w:p>
        </w:tc>
        <w:tc>
          <w:tcPr>
            <w:tcW w:w="2585" w:type="dxa"/>
            <w:vAlign w:val="bottom"/>
          </w:tcPr>
          <w:p w:rsidR="00F629EE" w:rsidRDefault="00F629EE" w:rsidP="00F629EE">
            <w:pPr>
              <w:spacing w:after="0"/>
              <w:jc w:val="center"/>
              <w:rPr>
                <w:rFonts w:ascii="Calibri" w:hAnsi="Calibri" w:cs="Calibri"/>
                <w:color w:val="000000"/>
              </w:rPr>
            </w:pPr>
            <w:r>
              <w:rPr>
                <w:rFonts w:ascii="Calibri" w:hAnsi="Calibri" w:cs="Calibri"/>
                <w:color w:val="000000"/>
              </w:rPr>
              <w:t>1.460206047</w:t>
            </w:r>
          </w:p>
        </w:tc>
      </w:tr>
      <w:tr w:rsidR="00F629EE" w:rsidTr="00F629EE">
        <w:trPr>
          <w:trHeight w:val="117"/>
        </w:trPr>
        <w:tc>
          <w:tcPr>
            <w:tcW w:w="2583" w:type="dxa"/>
          </w:tcPr>
          <w:p w:rsidR="00F629EE" w:rsidRPr="00F629EE" w:rsidRDefault="00F629EE" w:rsidP="00F629EE">
            <w:pPr>
              <w:spacing w:after="0"/>
              <w:jc w:val="center"/>
              <w:rPr>
                <w:rFonts w:ascii="Calibri" w:hAnsi="Calibri" w:cs="Calibri"/>
                <w:color w:val="000000"/>
              </w:rPr>
            </w:pPr>
            <w:r>
              <w:rPr>
                <w:rFonts w:ascii="Calibri" w:hAnsi="Calibri" w:cs="Calibri"/>
                <w:color w:val="000000"/>
              </w:rPr>
              <w:t xml:space="preserve">global average </w:t>
            </w:r>
            <w:proofErr w:type="spellStart"/>
            <w:r>
              <w:rPr>
                <w:rFonts w:ascii="Calibri" w:hAnsi="Calibri" w:cs="Calibri"/>
                <w:color w:val="000000"/>
              </w:rPr>
              <w:t>recommende</w:t>
            </w:r>
            <w:proofErr w:type="spellEnd"/>
          </w:p>
        </w:tc>
        <w:tc>
          <w:tcPr>
            <w:tcW w:w="2583" w:type="dxa"/>
            <w:vAlign w:val="bottom"/>
          </w:tcPr>
          <w:p w:rsidR="00F629EE" w:rsidRDefault="00F629EE" w:rsidP="00F629EE">
            <w:pPr>
              <w:jc w:val="center"/>
              <w:rPr>
                <w:rFonts w:ascii="Calibri" w:hAnsi="Calibri" w:cs="Calibri"/>
                <w:color w:val="000000"/>
              </w:rPr>
            </w:pPr>
            <w:r>
              <w:rPr>
                <w:rFonts w:ascii="Calibri" w:hAnsi="Calibri" w:cs="Calibri"/>
                <w:color w:val="000000"/>
              </w:rPr>
              <w:t>1.329057787</w:t>
            </w:r>
          </w:p>
        </w:tc>
        <w:tc>
          <w:tcPr>
            <w:tcW w:w="2585" w:type="dxa"/>
            <w:vAlign w:val="bottom"/>
          </w:tcPr>
          <w:p w:rsidR="00F629EE" w:rsidRDefault="00F629EE" w:rsidP="00F629EE">
            <w:pPr>
              <w:jc w:val="center"/>
              <w:rPr>
                <w:rFonts w:ascii="Calibri" w:hAnsi="Calibri" w:cs="Calibri"/>
                <w:color w:val="000000"/>
              </w:rPr>
            </w:pPr>
            <w:r>
              <w:rPr>
                <w:rFonts w:ascii="Calibri" w:hAnsi="Calibri" w:cs="Calibri"/>
                <w:color w:val="000000"/>
              </w:rPr>
              <w:t>1.112019584</w:t>
            </w:r>
          </w:p>
        </w:tc>
      </w:tr>
    </w:tbl>
    <w:p w:rsidR="00F629EE" w:rsidRDefault="00F629EE" w:rsidP="00F629EE">
      <w:pPr>
        <w:pStyle w:val="Bullet"/>
        <w:numPr>
          <w:ilvl w:val="0"/>
          <w:numId w:val="0"/>
        </w:numPr>
        <w:contextualSpacing/>
      </w:pPr>
    </w:p>
    <w:p w:rsidR="005D02F0" w:rsidRDefault="008538B8" w:rsidP="005D02F0">
      <w:pPr>
        <w:pStyle w:val="Heading2"/>
      </w:pPr>
      <w:r>
        <w:t>Data explanation</w:t>
      </w:r>
    </w:p>
    <w:p w:rsidR="008538B8" w:rsidRPr="008538B8" w:rsidRDefault="008538B8" w:rsidP="008538B8">
      <w:r w:rsidRPr="008538B8">
        <w:t>After observing the result, it is clear that something went wrong in either the algorithm or the dataset we used. After careful review of the algorithm with different dataset, we could find nothing that is responsible for the result. Hence, we start to suspect our dataset</w:t>
      </w:r>
      <w:r>
        <w:t xml:space="preserve"> suffer from data </w:t>
      </w:r>
      <w:r w:rsidRPr="008538B8">
        <w:t>sparseness</w:t>
      </w:r>
      <w:r>
        <w:t xml:space="preserve"> problem. Nonetheless, </w:t>
      </w:r>
      <w:r w:rsidRPr="008538B8">
        <w:t xml:space="preserve">we proceed to continue trying FP-growth at min support and confidence at 0.5. </w:t>
      </w:r>
      <w:r>
        <w:t>Unexpectedly</w:t>
      </w:r>
      <w:r w:rsidRPr="008538B8">
        <w:t xml:space="preserve">, </w:t>
      </w:r>
      <w:r>
        <w:t>the algorithm returned</w:t>
      </w:r>
      <w:r w:rsidRPr="008538B8">
        <w:t xml:space="preserve"> empty df. Hence, we keep on lowering min s and min c until 0.1. At this point, </w:t>
      </w:r>
      <w:r>
        <w:t xml:space="preserve">our suspicion about </w:t>
      </w:r>
      <w:r w:rsidRPr="008538B8">
        <w:t xml:space="preserve">data </w:t>
      </w:r>
      <w:r>
        <w:t>sparseness increase sharply</w:t>
      </w:r>
      <w:r w:rsidRPr="008538B8">
        <w:t>. So we try lower to 0. Unfortunately, after waiting for 15 minutes with my CPU working at 100% most of the time, it still</w:t>
      </w:r>
      <w:r>
        <w:t xml:space="preserve"> does</w:t>
      </w:r>
      <w:r w:rsidRPr="008538B8">
        <w:t xml:space="preserve"> not give back </w:t>
      </w:r>
      <w:r w:rsidR="00F127BA">
        <w:t xml:space="preserve">any </w:t>
      </w:r>
      <w:r w:rsidR="00F127BA" w:rsidRPr="008538B8">
        <w:t>resul</w:t>
      </w:r>
      <w:r w:rsidR="00F127BA">
        <w:t>t,</w:t>
      </w:r>
      <w:r w:rsidRPr="008538B8">
        <w:t xml:space="preserve"> so I stop it</w:t>
      </w:r>
      <w:r w:rsidR="00F127BA">
        <w:t xml:space="preserve">. </w:t>
      </w:r>
      <w:r w:rsidR="00F127BA" w:rsidRPr="00F127BA">
        <w:t>From this, we tried to look for others who work on the same dataset who also use collab</w:t>
      </w:r>
      <w:r w:rsidR="00F127BA">
        <w:t>orate</w:t>
      </w:r>
      <w:r w:rsidR="00F127BA" w:rsidRPr="00F127BA">
        <w:t xml:space="preserve"> filtering like us and we found one. Perhaps lucky for us, the paper from Stanford University has the same conclusion as us that the Yelp dataset suffers from data </w:t>
      </w:r>
      <w:r w:rsidR="00F127BA">
        <w:t>sparseness</w:t>
      </w:r>
      <w:r w:rsidR="00F127BA" w:rsidRPr="00F127BA">
        <w:t>.</w:t>
      </w:r>
    </w:p>
    <w:p w:rsidR="005D02F0" w:rsidRDefault="005D02F0" w:rsidP="005D02F0"/>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Pr>
        <w:pStyle w:val="Bullet"/>
        <w:numPr>
          <w:ilvl w:val="0"/>
          <w:numId w:val="0"/>
        </w:numPr>
        <w:contextualSpacing/>
      </w:pPr>
    </w:p>
    <w:p w:rsidR="005D02F0" w:rsidRDefault="007C6A7A" w:rsidP="005D02F0">
      <w:pPr>
        <w:pStyle w:val="Heading1"/>
        <w:numPr>
          <w:ilvl w:val="0"/>
          <w:numId w:val="39"/>
        </w:numPr>
      </w:pPr>
      <w:r>
        <w:t>Discussion</w:t>
      </w:r>
    </w:p>
    <w:p w:rsidR="005D02F0" w:rsidRDefault="005D02F0" w:rsidP="005D02F0">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rsidR="005D02F0" w:rsidRDefault="007C6A7A" w:rsidP="007C6A7A">
      <w:pPr>
        <w:pStyle w:val="Heading2"/>
        <w:numPr>
          <w:ilvl w:val="1"/>
          <w:numId w:val="39"/>
        </w:numPr>
        <w:ind w:left="709" w:hanging="425"/>
      </w:pPr>
      <w:r>
        <w:t>Solutions to the issues found</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7C6A7A" w:rsidRDefault="007C6A7A" w:rsidP="007C6A7A">
      <w:pPr>
        <w:pStyle w:val="Heading2"/>
        <w:numPr>
          <w:ilvl w:val="1"/>
          <w:numId w:val="39"/>
        </w:numPr>
        <w:ind w:left="709" w:hanging="425"/>
      </w:pPr>
      <w:r>
        <w:t>L</w:t>
      </w:r>
      <w:r w:rsidRPr="007C6A7A">
        <w:t>imitations</w:t>
      </w:r>
      <w:r>
        <w:t xml:space="preserve"> of the methods used</w:t>
      </w:r>
    </w:p>
    <w:p w:rsidR="007C6A7A" w:rsidRDefault="007C6A7A" w:rsidP="007C6A7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7C6A7A" w:rsidRPr="00EB3FD4" w:rsidRDefault="007C6A7A" w:rsidP="007C6A7A">
      <w:pPr>
        <w:pStyle w:val="Heading3"/>
      </w:pPr>
      <w:r w:rsidRPr="00EB3FD4">
        <w:t>Sub-subsections</w:t>
      </w:r>
    </w:p>
    <w:p w:rsidR="007C6A7A" w:rsidRDefault="007C6A7A" w:rsidP="007C6A7A">
      <w:r>
        <w:t>Headings for sub-subsections should be in Georgia 10-point bold with initial letters capitalized (</w:t>
      </w:r>
      <w:r w:rsidRPr="00C2763A">
        <w:rPr>
          <w:rStyle w:val="SpecialStyleChar"/>
        </w:rPr>
        <w:t>Heading 3</w:t>
      </w:r>
      <w:r>
        <w:t>). Please do not go any further into another layer/level.</w:t>
      </w:r>
    </w:p>
    <w:p w:rsidR="007C6A7A" w:rsidRDefault="009218CA" w:rsidP="007C6A7A">
      <w:pPr>
        <w:pStyle w:val="Heading2"/>
        <w:numPr>
          <w:ilvl w:val="1"/>
          <w:numId w:val="39"/>
        </w:numPr>
        <w:ind w:left="709" w:hanging="425"/>
      </w:pPr>
      <w:r>
        <w:lastRenderedPageBreak/>
        <w:t>P</w:t>
      </w:r>
      <w:r w:rsidRPr="009218CA">
        <w:t>ossible future work</w:t>
      </w:r>
    </w:p>
    <w:p w:rsidR="007C6A7A" w:rsidRDefault="007C6A7A" w:rsidP="007C6A7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7C6A7A" w:rsidRPr="00EB3FD4" w:rsidRDefault="007C6A7A" w:rsidP="007C6A7A">
      <w:pPr>
        <w:pStyle w:val="Heading3"/>
      </w:pPr>
      <w:r w:rsidRPr="00EB3FD4">
        <w:t>Sub-subsections</w:t>
      </w:r>
    </w:p>
    <w:p w:rsidR="007C6A7A" w:rsidRDefault="007C6A7A" w:rsidP="007C6A7A">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4D1930" w:rsidRDefault="004D1930" w:rsidP="009218CA">
      <w:pPr>
        <w:pStyle w:val="Heading1"/>
        <w:numPr>
          <w:ilvl w:val="0"/>
          <w:numId w:val="39"/>
        </w:numPr>
      </w:pPr>
      <w:r>
        <w:t>Conclusion</w:t>
      </w:r>
    </w:p>
    <w:p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rsidR="009218CA" w:rsidRDefault="009218CA" w:rsidP="00963BA8">
      <w:pPr>
        <w:pStyle w:val="Heading1"/>
      </w:pPr>
    </w:p>
    <w:p w:rsidR="004D1930" w:rsidRDefault="004D1930" w:rsidP="00963BA8">
      <w:pPr>
        <w:pStyle w:val="Heading1"/>
      </w:pPr>
      <w:r>
        <w:t>REFEREN</w:t>
      </w:r>
      <w:r w:rsidR="00FD1C5B">
        <w:t>CES</w:t>
      </w:r>
      <w:r w:rsidR="00FD1C5B">
        <w:br/>
        <w:t>(</w:t>
      </w:r>
      <w:r w:rsidR="00E724C8">
        <w:t>Ensure that all references</w:t>
      </w:r>
      <w:r w:rsidR="00CC7F56">
        <w:t xml:space="preserve"> are fully complete and a</w:t>
      </w:r>
      <w:r>
        <w:t>ccurate as per the examples)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9022"/>
      </w:tblGrid>
      <w:tr w:rsidR="009218CA" w:rsidRPr="005C2A8C" w:rsidTr="00D07D0C">
        <w:trPr>
          <w:tblCellSpacing w:w="15" w:type="dxa"/>
        </w:trPr>
        <w:tc>
          <w:tcPr>
            <w:tcW w:w="0" w:type="auto"/>
            <w:hideMark/>
          </w:tcPr>
          <w:p w:rsidR="009218CA" w:rsidRPr="009218CA" w:rsidRDefault="009218CA" w:rsidP="009218CA">
            <w:pPr>
              <w:pBdr>
                <w:top w:val="nil"/>
                <w:left w:val="nil"/>
                <w:bottom w:val="nil"/>
                <w:right w:val="nil"/>
                <w:between w:val="nil"/>
              </w:pBdr>
            </w:pPr>
            <w:bookmarkStart w:id="1" w:name="Ric88"/>
            <w:r w:rsidRPr="009218CA">
              <w:t>[1]</w:t>
            </w:r>
            <w:bookmarkEnd w:id="1"/>
          </w:p>
        </w:tc>
        <w:tc>
          <w:tcPr>
            <w:tcW w:w="0" w:type="auto"/>
            <w:hideMark/>
          </w:tcPr>
          <w:p w:rsidR="009218CA" w:rsidRPr="009218CA" w:rsidRDefault="009218CA" w:rsidP="009218CA">
            <w:pPr>
              <w:pBdr>
                <w:top w:val="nil"/>
                <w:left w:val="nil"/>
                <w:bottom w:val="nil"/>
                <w:right w:val="nil"/>
                <w:between w:val="nil"/>
              </w:pBdr>
            </w:pPr>
            <w:r w:rsidRPr="009218CA">
              <w:t>Schwab, K. "The Fourth Industrial Revolution"; Penguin: London, UK, 2017.</w:t>
            </w:r>
          </w:p>
        </w:tc>
      </w:tr>
      <w:tr w:rsidR="009218CA" w:rsidRPr="005C2A8C" w:rsidTr="00D07D0C">
        <w:trPr>
          <w:tblCellSpacing w:w="15" w:type="dxa"/>
        </w:trPr>
        <w:tc>
          <w:tcPr>
            <w:tcW w:w="0" w:type="auto"/>
            <w:hideMark/>
          </w:tcPr>
          <w:p w:rsidR="009218CA" w:rsidRPr="009218CA" w:rsidRDefault="009218CA" w:rsidP="009218CA">
            <w:pPr>
              <w:pBdr>
                <w:top w:val="nil"/>
                <w:left w:val="nil"/>
                <w:bottom w:val="nil"/>
                <w:right w:val="nil"/>
                <w:between w:val="nil"/>
              </w:pBdr>
            </w:pPr>
            <w:bookmarkStart w:id="2" w:name="Ian17"/>
            <w:r w:rsidRPr="009218CA">
              <w:t>[2]</w:t>
            </w:r>
            <w:bookmarkEnd w:id="2"/>
          </w:p>
        </w:tc>
        <w:tc>
          <w:tcPr>
            <w:tcW w:w="0" w:type="auto"/>
            <w:hideMark/>
          </w:tcPr>
          <w:p w:rsidR="009218CA" w:rsidRPr="009218CA" w:rsidRDefault="009218CA" w:rsidP="009218CA">
            <w:pPr>
              <w:pBdr>
                <w:top w:val="nil"/>
                <w:left w:val="nil"/>
                <w:bottom w:val="nil"/>
                <w:right w:val="nil"/>
                <w:between w:val="nil"/>
              </w:pBdr>
            </w:pPr>
            <w:r w:rsidRPr="009218CA">
              <w:t xml:space="preserve">James Zou and </w:t>
            </w:r>
            <w:proofErr w:type="spellStart"/>
            <w:r w:rsidRPr="009218CA">
              <w:t>Londa</w:t>
            </w:r>
            <w:proofErr w:type="spellEnd"/>
            <w:r w:rsidRPr="009218CA">
              <w:t xml:space="preserve"> </w:t>
            </w:r>
            <w:proofErr w:type="spellStart"/>
            <w:r w:rsidRPr="009218CA">
              <w:t>Schiebinger</w:t>
            </w:r>
            <w:proofErr w:type="spellEnd"/>
            <w:r w:rsidRPr="009218CA">
              <w:t>, "Design AI so that it's fair"; Nature, Vol 559, 19 Jul 2018.</w:t>
            </w:r>
          </w:p>
        </w:tc>
      </w:tr>
      <w:tr w:rsidR="009218CA" w:rsidRPr="001975CE" w:rsidTr="00D07D0C">
        <w:trPr>
          <w:tblCellSpacing w:w="15" w:type="dxa"/>
        </w:trPr>
        <w:tc>
          <w:tcPr>
            <w:tcW w:w="0" w:type="auto"/>
            <w:hideMark/>
          </w:tcPr>
          <w:p w:rsidR="009218CA" w:rsidRPr="009218CA" w:rsidRDefault="009218CA" w:rsidP="009218CA">
            <w:pPr>
              <w:pBdr>
                <w:top w:val="nil"/>
                <w:left w:val="nil"/>
                <w:bottom w:val="nil"/>
                <w:right w:val="nil"/>
                <w:between w:val="nil"/>
              </w:pBdr>
            </w:pPr>
            <w:bookmarkStart w:id="3" w:name="Kol09"/>
            <w:r w:rsidRPr="009218CA">
              <w:t>[3]</w:t>
            </w:r>
            <w:bookmarkEnd w:id="3"/>
          </w:p>
        </w:tc>
        <w:tc>
          <w:tcPr>
            <w:tcW w:w="0" w:type="auto"/>
            <w:hideMark/>
          </w:tcPr>
          <w:p w:rsidR="009218CA" w:rsidRPr="009218CA" w:rsidRDefault="009218CA" w:rsidP="009218CA">
            <w:pPr>
              <w:pBdr>
                <w:top w:val="nil"/>
                <w:left w:val="nil"/>
                <w:bottom w:val="nil"/>
                <w:right w:val="nil"/>
                <w:between w:val="nil"/>
              </w:pBdr>
            </w:pPr>
            <w:r w:rsidRPr="009218CA">
              <w:t xml:space="preserve">Sam </w:t>
            </w:r>
            <w:proofErr w:type="spellStart"/>
            <w:r w:rsidRPr="009218CA">
              <w:t>Shead</w:t>
            </w:r>
            <w:proofErr w:type="spellEnd"/>
            <w:r w:rsidRPr="009218CA">
              <w:t xml:space="preserve">, "Google DeepMind's Go AI Has Mastered Chess </w:t>
            </w:r>
            <w:proofErr w:type="gramStart"/>
            <w:r w:rsidRPr="009218CA">
              <w:t>And</w:t>
            </w:r>
            <w:proofErr w:type="gramEnd"/>
            <w:r w:rsidRPr="009218CA">
              <w:t xml:space="preserve"> Shogi"; Forbes [Online], 7 Dec 2018, https://www.forbes.com/sites/samshead/2018/12/07/google-deepminds-go-ai-has-mastered-chess-and-shog</w:t>
            </w:r>
          </w:p>
        </w:tc>
      </w:tr>
      <w:tr w:rsidR="009218CA" w:rsidRPr="00CE21EB" w:rsidTr="00D07D0C">
        <w:trPr>
          <w:tblCellSpacing w:w="15" w:type="dxa"/>
        </w:trPr>
        <w:tc>
          <w:tcPr>
            <w:tcW w:w="0" w:type="auto"/>
          </w:tcPr>
          <w:p w:rsidR="009218CA" w:rsidRPr="009218CA" w:rsidRDefault="009218CA" w:rsidP="009218CA">
            <w:pPr>
              <w:pBdr>
                <w:top w:val="nil"/>
                <w:left w:val="nil"/>
                <w:bottom w:val="nil"/>
                <w:right w:val="nil"/>
                <w:between w:val="nil"/>
              </w:pBdr>
            </w:pPr>
            <w:r w:rsidRPr="009218CA">
              <w:t>[4]</w:t>
            </w:r>
          </w:p>
        </w:tc>
        <w:tc>
          <w:tcPr>
            <w:tcW w:w="0" w:type="auto"/>
          </w:tcPr>
          <w:p w:rsidR="009218CA" w:rsidRPr="009218CA" w:rsidRDefault="009218CA" w:rsidP="009218CA">
            <w:pPr>
              <w:pBdr>
                <w:top w:val="nil"/>
                <w:left w:val="nil"/>
                <w:bottom w:val="nil"/>
                <w:right w:val="nil"/>
                <w:between w:val="nil"/>
              </w:pBdr>
            </w:pPr>
            <w:r w:rsidRPr="009218CA">
              <w:t>Virginia Eubanks, "Automating inequality"; St. Martin's Press, New York, US, 2018.</w:t>
            </w:r>
          </w:p>
        </w:tc>
      </w:tr>
      <w:tr w:rsidR="009218CA" w:rsidRPr="001975CE" w:rsidTr="00D07D0C">
        <w:trPr>
          <w:tblCellSpacing w:w="15" w:type="dxa"/>
        </w:trPr>
        <w:tc>
          <w:tcPr>
            <w:tcW w:w="0" w:type="auto"/>
          </w:tcPr>
          <w:p w:rsidR="009218CA" w:rsidRPr="009218CA" w:rsidRDefault="009218CA" w:rsidP="009218CA">
            <w:pPr>
              <w:pBdr>
                <w:top w:val="nil"/>
                <w:left w:val="nil"/>
                <w:bottom w:val="nil"/>
                <w:right w:val="nil"/>
                <w:between w:val="nil"/>
              </w:pBdr>
            </w:pPr>
            <w:r w:rsidRPr="009218CA">
              <w:t>[5]</w:t>
            </w:r>
          </w:p>
        </w:tc>
        <w:tc>
          <w:tcPr>
            <w:tcW w:w="0" w:type="auto"/>
          </w:tcPr>
          <w:p w:rsidR="009218CA" w:rsidRPr="009218CA" w:rsidRDefault="009218CA" w:rsidP="009218CA">
            <w:pPr>
              <w:pBdr>
                <w:top w:val="nil"/>
                <w:left w:val="nil"/>
                <w:bottom w:val="nil"/>
                <w:right w:val="nil"/>
                <w:between w:val="nil"/>
              </w:pBdr>
            </w:pPr>
            <w:r w:rsidRPr="009218CA">
              <w:t>Jeremy Hsu, "Humanity Must 'Jail' Dangerous AI to Avoid Doom", Live Science [Online], 1 Mar 2012, https://www.livescience.com/18760-humans-build-virtual-prison-dangerous-ai-expert.html</w:t>
            </w:r>
          </w:p>
        </w:tc>
      </w:tr>
    </w:tbl>
    <w:p w:rsidR="003168A1" w:rsidRPr="004D1930" w:rsidRDefault="003168A1" w:rsidP="009218CA">
      <w:pPr>
        <w:pStyle w:val="References"/>
      </w:pPr>
    </w:p>
    <w:sectPr w:rsidR="003168A1" w:rsidRPr="004D1930" w:rsidSect="007C5227">
      <w:headerReference w:type="even" r:id="rId9"/>
      <w:headerReference w:type="default" r:id="rId10"/>
      <w:footerReference w:type="even" r:id="rId11"/>
      <w:footerReference w:type="defaul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9E6" w:rsidRDefault="00D019E6">
      <w:r>
        <w:separator/>
      </w:r>
    </w:p>
  </w:endnote>
  <w:endnote w:type="continuationSeparator" w:id="0">
    <w:p w:rsidR="00D019E6" w:rsidRDefault="00D0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tab/>
      <w:t>Twenty-</w:t>
    </w:r>
    <w:r w:rsidR="00041F05">
      <w:t xml:space="preserve">fourth </w:t>
    </w:r>
    <w:r>
      <w:t xml:space="preserve">Americas Conference on Information Systems, </w:t>
    </w:r>
    <w:r w:rsidR="00041F05">
      <w:t>New Orlean</w:t>
    </w:r>
    <w:r w:rsidR="00727919">
      <w:t>s</w:t>
    </w:r>
    <w:r>
      <w:t>, 201</w:t>
    </w:r>
    <w:r w:rsidR="00041F05">
      <w:t>8</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9E6" w:rsidRDefault="00D019E6">
      <w:r>
        <w:separator/>
      </w:r>
    </w:p>
  </w:footnote>
  <w:footnote w:type="continuationSeparator" w:id="0">
    <w:p w:rsidR="00D019E6" w:rsidRDefault="00D01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3EA2F83"/>
    <w:multiLevelType w:val="hybridMultilevel"/>
    <w:tmpl w:val="CD6AF55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3AB63CD"/>
    <w:multiLevelType w:val="hybridMultilevel"/>
    <w:tmpl w:val="DA08F86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8" w15:restartNumberingAfterBreak="0">
    <w:nsid w:val="67F72957"/>
    <w:multiLevelType w:val="hybridMultilevel"/>
    <w:tmpl w:val="43F68D2A"/>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9"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0"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8"/>
  </w:num>
  <w:num w:numId="24">
    <w:abstractNumId w:val="11"/>
  </w:num>
  <w:num w:numId="25">
    <w:abstractNumId w:val="20"/>
  </w:num>
  <w:num w:numId="26">
    <w:abstractNumId w:val="17"/>
  </w:num>
  <w:num w:numId="27">
    <w:abstractNumId w:val="22"/>
  </w:num>
  <w:num w:numId="28">
    <w:abstractNumId w:val="23"/>
  </w:num>
  <w:num w:numId="29">
    <w:abstractNumId w:val="16"/>
  </w:num>
  <w:num w:numId="30">
    <w:abstractNumId w:val="25"/>
  </w:num>
  <w:num w:numId="31">
    <w:abstractNumId w:val="13"/>
  </w:num>
  <w:num w:numId="32">
    <w:abstractNumId w:val="29"/>
  </w:num>
  <w:num w:numId="33">
    <w:abstractNumId w:val="21"/>
  </w:num>
  <w:num w:numId="34">
    <w:abstractNumId w:val="24"/>
  </w:num>
  <w:num w:numId="35">
    <w:abstractNumId w:val="14"/>
  </w:num>
  <w:num w:numId="36">
    <w:abstractNumId w:val="26"/>
  </w:num>
  <w:num w:numId="37">
    <w:abstractNumId w:val="31"/>
  </w:num>
  <w:num w:numId="38">
    <w:abstractNumId w:val="0"/>
  </w:num>
  <w:num w:numId="39">
    <w:abstractNumId w:val="30"/>
  </w:num>
  <w:num w:numId="40">
    <w:abstractNumId w:val="19"/>
  </w:num>
  <w:num w:numId="41">
    <w:abstractNumId w:val="1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4FB4"/>
    <w:rsid w:val="00030753"/>
    <w:rsid w:val="00041F05"/>
    <w:rsid w:val="00046866"/>
    <w:rsid w:val="00054F4D"/>
    <w:rsid w:val="00063C54"/>
    <w:rsid w:val="000649CF"/>
    <w:rsid w:val="00075310"/>
    <w:rsid w:val="00085371"/>
    <w:rsid w:val="000A6775"/>
    <w:rsid w:val="000B3CB3"/>
    <w:rsid w:val="000E114D"/>
    <w:rsid w:val="000E248E"/>
    <w:rsid w:val="001026A0"/>
    <w:rsid w:val="00107D0A"/>
    <w:rsid w:val="00124237"/>
    <w:rsid w:val="0013309F"/>
    <w:rsid w:val="00141A9B"/>
    <w:rsid w:val="0014374C"/>
    <w:rsid w:val="001576D3"/>
    <w:rsid w:val="001773E5"/>
    <w:rsid w:val="001906BF"/>
    <w:rsid w:val="001A0BA9"/>
    <w:rsid w:val="001A739A"/>
    <w:rsid w:val="001B1344"/>
    <w:rsid w:val="001C5B87"/>
    <w:rsid w:val="001D3892"/>
    <w:rsid w:val="001D5393"/>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62BEB"/>
    <w:rsid w:val="00275F96"/>
    <w:rsid w:val="00280AA3"/>
    <w:rsid w:val="00280F2A"/>
    <w:rsid w:val="00282645"/>
    <w:rsid w:val="00282F03"/>
    <w:rsid w:val="002A3650"/>
    <w:rsid w:val="002A635A"/>
    <w:rsid w:val="002B219A"/>
    <w:rsid w:val="002C1AFC"/>
    <w:rsid w:val="002C245C"/>
    <w:rsid w:val="002C5567"/>
    <w:rsid w:val="002D5089"/>
    <w:rsid w:val="00303A5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D5BD6"/>
    <w:rsid w:val="003E27C2"/>
    <w:rsid w:val="004015D9"/>
    <w:rsid w:val="00413AC9"/>
    <w:rsid w:val="00430EE4"/>
    <w:rsid w:val="00436B3D"/>
    <w:rsid w:val="004438E7"/>
    <w:rsid w:val="00464A64"/>
    <w:rsid w:val="00467BF9"/>
    <w:rsid w:val="00483709"/>
    <w:rsid w:val="00494A74"/>
    <w:rsid w:val="004A2057"/>
    <w:rsid w:val="004A7344"/>
    <w:rsid w:val="004B5DFA"/>
    <w:rsid w:val="004B60A1"/>
    <w:rsid w:val="004B73C5"/>
    <w:rsid w:val="004C002B"/>
    <w:rsid w:val="004C2BF3"/>
    <w:rsid w:val="004D1930"/>
    <w:rsid w:val="004E3F16"/>
    <w:rsid w:val="004F692C"/>
    <w:rsid w:val="004F7BA2"/>
    <w:rsid w:val="005050BE"/>
    <w:rsid w:val="00505FF3"/>
    <w:rsid w:val="00506E11"/>
    <w:rsid w:val="00507692"/>
    <w:rsid w:val="0051316C"/>
    <w:rsid w:val="00516B41"/>
    <w:rsid w:val="00516EBE"/>
    <w:rsid w:val="00525F3E"/>
    <w:rsid w:val="00534853"/>
    <w:rsid w:val="0054399F"/>
    <w:rsid w:val="0054533B"/>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5A1C"/>
    <w:rsid w:val="00610D05"/>
    <w:rsid w:val="00612BEC"/>
    <w:rsid w:val="0062214E"/>
    <w:rsid w:val="00653BE0"/>
    <w:rsid w:val="00662182"/>
    <w:rsid w:val="0067228D"/>
    <w:rsid w:val="006766C4"/>
    <w:rsid w:val="00681804"/>
    <w:rsid w:val="00684ED1"/>
    <w:rsid w:val="006865BC"/>
    <w:rsid w:val="00690472"/>
    <w:rsid w:val="00693D24"/>
    <w:rsid w:val="006A43E7"/>
    <w:rsid w:val="006A5214"/>
    <w:rsid w:val="006A5997"/>
    <w:rsid w:val="006A7CFA"/>
    <w:rsid w:val="006B05C2"/>
    <w:rsid w:val="006D1775"/>
    <w:rsid w:val="006D711C"/>
    <w:rsid w:val="006E7A99"/>
    <w:rsid w:val="006F1768"/>
    <w:rsid w:val="006F2372"/>
    <w:rsid w:val="006F3822"/>
    <w:rsid w:val="00702C05"/>
    <w:rsid w:val="00702F17"/>
    <w:rsid w:val="0071726F"/>
    <w:rsid w:val="00726403"/>
    <w:rsid w:val="00727919"/>
    <w:rsid w:val="007303B7"/>
    <w:rsid w:val="0075010D"/>
    <w:rsid w:val="007652D8"/>
    <w:rsid w:val="00781680"/>
    <w:rsid w:val="007B0802"/>
    <w:rsid w:val="007B7712"/>
    <w:rsid w:val="007C320B"/>
    <w:rsid w:val="007C5227"/>
    <w:rsid w:val="007C6A7A"/>
    <w:rsid w:val="007D2DAD"/>
    <w:rsid w:val="007D50CD"/>
    <w:rsid w:val="007D7904"/>
    <w:rsid w:val="007E3480"/>
    <w:rsid w:val="007E6E73"/>
    <w:rsid w:val="0080237E"/>
    <w:rsid w:val="00806C1B"/>
    <w:rsid w:val="00807F4F"/>
    <w:rsid w:val="00815445"/>
    <w:rsid w:val="0082796B"/>
    <w:rsid w:val="00827B65"/>
    <w:rsid w:val="00831847"/>
    <w:rsid w:val="00837E06"/>
    <w:rsid w:val="00843B8D"/>
    <w:rsid w:val="00851885"/>
    <w:rsid w:val="008538B8"/>
    <w:rsid w:val="00862B07"/>
    <w:rsid w:val="008704A7"/>
    <w:rsid w:val="008771B1"/>
    <w:rsid w:val="00880CD0"/>
    <w:rsid w:val="008812E0"/>
    <w:rsid w:val="00881C54"/>
    <w:rsid w:val="008844BB"/>
    <w:rsid w:val="00885528"/>
    <w:rsid w:val="00890889"/>
    <w:rsid w:val="008908AE"/>
    <w:rsid w:val="008A46B5"/>
    <w:rsid w:val="008B2610"/>
    <w:rsid w:val="008C45B6"/>
    <w:rsid w:val="008D1167"/>
    <w:rsid w:val="008D7634"/>
    <w:rsid w:val="008E5850"/>
    <w:rsid w:val="008E60DD"/>
    <w:rsid w:val="008F1E11"/>
    <w:rsid w:val="008F30F7"/>
    <w:rsid w:val="008F3295"/>
    <w:rsid w:val="00903890"/>
    <w:rsid w:val="009218CA"/>
    <w:rsid w:val="00923612"/>
    <w:rsid w:val="0092431C"/>
    <w:rsid w:val="00927254"/>
    <w:rsid w:val="00945338"/>
    <w:rsid w:val="00954196"/>
    <w:rsid w:val="00957583"/>
    <w:rsid w:val="00963BA8"/>
    <w:rsid w:val="00965AC6"/>
    <w:rsid w:val="009736A5"/>
    <w:rsid w:val="00981810"/>
    <w:rsid w:val="009843AA"/>
    <w:rsid w:val="00985503"/>
    <w:rsid w:val="009948DC"/>
    <w:rsid w:val="00996104"/>
    <w:rsid w:val="009A3C3C"/>
    <w:rsid w:val="009B59C6"/>
    <w:rsid w:val="009C31AC"/>
    <w:rsid w:val="009D09C1"/>
    <w:rsid w:val="009D4BFA"/>
    <w:rsid w:val="009E1C64"/>
    <w:rsid w:val="009E2A70"/>
    <w:rsid w:val="00A03413"/>
    <w:rsid w:val="00A04535"/>
    <w:rsid w:val="00A2198D"/>
    <w:rsid w:val="00A32EFE"/>
    <w:rsid w:val="00A44271"/>
    <w:rsid w:val="00A619BC"/>
    <w:rsid w:val="00A71FAB"/>
    <w:rsid w:val="00A76FE4"/>
    <w:rsid w:val="00A872FC"/>
    <w:rsid w:val="00A943E9"/>
    <w:rsid w:val="00AA00B0"/>
    <w:rsid w:val="00AA0F40"/>
    <w:rsid w:val="00AA6935"/>
    <w:rsid w:val="00AB25B1"/>
    <w:rsid w:val="00AC6604"/>
    <w:rsid w:val="00AD67CC"/>
    <w:rsid w:val="00AD7B4E"/>
    <w:rsid w:val="00AD7D3A"/>
    <w:rsid w:val="00B00F77"/>
    <w:rsid w:val="00B031E0"/>
    <w:rsid w:val="00B07B54"/>
    <w:rsid w:val="00B07EE6"/>
    <w:rsid w:val="00B116E5"/>
    <w:rsid w:val="00B12385"/>
    <w:rsid w:val="00B130D2"/>
    <w:rsid w:val="00B25EB9"/>
    <w:rsid w:val="00B40742"/>
    <w:rsid w:val="00B43C63"/>
    <w:rsid w:val="00B506CF"/>
    <w:rsid w:val="00B517D7"/>
    <w:rsid w:val="00B56E04"/>
    <w:rsid w:val="00B577BB"/>
    <w:rsid w:val="00B64EAC"/>
    <w:rsid w:val="00B65D7F"/>
    <w:rsid w:val="00B6614E"/>
    <w:rsid w:val="00B7172A"/>
    <w:rsid w:val="00B819B7"/>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9116C"/>
    <w:rsid w:val="00CA3CC9"/>
    <w:rsid w:val="00CB0FA7"/>
    <w:rsid w:val="00CC1679"/>
    <w:rsid w:val="00CC3E13"/>
    <w:rsid w:val="00CC7F56"/>
    <w:rsid w:val="00CD0815"/>
    <w:rsid w:val="00CD474D"/>
    <w:rsid w:val="00CD693C"/>
    <w:rsid w:val="00CF2019"/>
    <w:rsid w:val="00CF63E7"/>
    <w:rsid w:val="00D0139B"/>
    <w:rsid w:val="00D019E6"/>
    <w:rsid w:val="00D01CD4"/>
    <w:rsid w:val="00D04FA6"/>
    <w:rsid w:val="00D06932"/>
    <w:rsid w:val="00D161B4"/>
    <w:rsid w:val="00D20EDD"/>
    <w:rsid w:val="00D27B55"/>
    <w:rsid w:val="00D27F30"/>
    <w:rsid w:val="00D32A88"/>
    <w:rsid w:val="00D431EE"/>
    <w:rsid w:val="00D54B05"/>
    <w:rsid w:val="00D67E62"/>
    <w:rsid w:val="00D80B5A"/>
    <w:rsid w:val="00D8467A"/>
    <w:rsid w:val="00D928BB"/>
    <w:rsid w:val="00DA68A7"/>
    <w:rsid w:val="00DB2829"/>
    <w:rsid w:val="00DB6185"/>
    <w:rsid w:val="00DB6673"/>
    <w:rsid w:val="00DE39BF"/>
    <w:rsid w:val="00DE5481"/>
    <w:rsid w:val="00DF0079"/>
    <w:rsid w:val="00E01568"/>
    <w:rsid w:val="00E04FB6"/>
    <w:rsid w:val="00E06FC7"/>
    <w:rsid w:val="00E07A1E"/>
    <w:rsid w:val="00E25654"/>
    <w:rsid w:val="00E30847"/>
    <w:rsid w:val="00E37A1A"/>
    <w:rsid w:val="00E402CE"/>
    <w:rsid w:val="00E4258A"/>
    <w:rsid w:val="00E50DDB"/>
    <w:rsid w:val="00E54011"/>
    <w:rsid w:val="00E62621"/>
    <w:rsid w:val="00E724C8"/>
    <w:rsid w:val="00E8345B"/>
    <w:rsid w:val="00E91D71"/>
    <w:rsid w:val="00EA0B88"/>
    <w:rsid w:val="00EA537C"/>
    <w:rsid w:val="00EB3FD4"/>
    <w:rsid w:val="00EC0142"/>
    <w:rsid w:val="00EC510E"/>
    <w:rsid w:val="00ED06DD"/>
    <w:rsid w:val="00EF69AA"/>
    <w:rsid w:val="00F01E7C"/>
    <w:rsid w:val="00F02D9C"/>
    <w:rsid w:val="00F0506F"/>
    <w:rsid w:val="00F10636"/>
    <w:rsid w:val="00F11A96"/>
    <w:rsid w:val="00F11F29"/>
    <w:rsid w:val="00F127BA"/>
    <w:rsid w:val="00F314DB"/>
    <w:rsid w:val="00F33A27"/>
    <w:rsid w:val="00F4166F"/>
    <w:rsid w:val="00F42CAA"/>
    <w:rsid w:val="00F629EE"/>
    <w:rsid w:val="00F70BC8"/>
    <w:rsid w:val="00F73DF6"/>
    <w:rsid w:val="00F76300"/>
    <w:rsid w:val="00F96CC8"/>
    <w:rsid w:val="00FA3A9C"/>
    <w:rsid w:val="00FB45F6"/>
    <w:rsid w:val="00FB4930"/>
    <w:rsid w:val="00FB6A02"/>
    <w:rsid w:val="00FD1C5B"/>
    <w:rsid w:val="00FD202F"/>
    <w:rsid w:val="00FD20AB"/>
    <w:rsid w:val="00FD4DC4"/>
    <w:rsid w:val="00FE0DF2"/>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A0AA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6A7A"/>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 w:type="paragraph" w:styleId="ListParagraph">
    <w:name w:val="List Paragraph"/>
    <w:basedOn w:val="Normal"/>
    <w:uiPriority w:val="72"/>
    <w:qFormat/>
    <w:rsid w:val="007C6A7A"/>
    <w:pPr>
      <w:ind w:left="720"/>
      <w:contextualSpacing/>
    </w:pPr>
  </w:style>
  <w:style w:type="paragraph" w:styleId="Bibliography">
    <w:name w:val="Bibliography"/>
    <w:basedOn w:val="Normal"/>
    <w:next w:val="Normal"/>
    <w:uiPriority w:val="37"/>
    <w:unhideWhenUsed/>
    <w:rsid w:val="009218CA"/>
    <w:pPr>
      <w:pBdr>
        <w:top w:val="nil"/>
        <w:left w:val="nil"/>
        <w:bottom w:val="nil"/>
        <w:right w:val="nil"/>
        <w:between w:val="nil"/>
      </w:pBdr>
      <w:spacing w:after="0" w:line="276" w:lineRule="auto"/>
      <w:jc w:val="left"/>
    </w:pPr>
    <w:rPr>
      <w:rFonts w:ascii="Arial" w:eastAsiaTheme="minorEastAsia" w:hAnsi="Arial" w:cs="Arial"/>
      <w:color w:val="000000"/>
      <w:sz w:val="22"/>
      <w:szCs w:val="22"/>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338586001">
      <w:bodyDiv w:val="1"/>
      <w:marLeft w:val="0"/>
      <w:marRight w:val="0"/>
      <w:marTop w:val="0"/>
      <w:marBottom w:val="0"/>
      <w:divBdr>
        <w:top w:val="none" w:sz="0" w:space="0" w:color="auto"/>
        <w:left w:val="none" w:sz="0" w:space="0" w:color="auto"/>
        <w:bottom w:val="none" w:sz="0" w:space="0" w:color="auto"/>
        <w:right w:val="none" w:sz="0" w:space="0" w:color="auto"/>
      </w:divBdr>
    </w:div>
    <w:div w:id="375156414">
      <w:bodyDiv w:val="1"/>
      <w:marLeft w:val="0"/>
      <w:marRight w:val="0"/>
      <w:marTop w:val="0"/>
      <w:marBottom w:val="0"/>
      <w:divBdr>
        <w:top w:val="none" w:sz="0" w:space="0" w:color="auto"/>
        <w:left w:val="none" w:sz="0" w:space="0" w:color="auto"/>
        <w:bottom w:val="none" w:sz="0" w:space="0" w:color="auto"/>
        <w:right w:val="none" w:sz="0" w:space="0" w:color="auto"/>
      </w:divBdr>
    </w:div>
    <w:div w:id="486558165">
      <w:bodyDiv w:val="1"/>
      <w:marLeft w:val="0"/>
      <w:marRight w:val="0"/>
      <w:marTop w:val="0"/>
      <w:marBottom w:val="0"/>
      <w:divBdr>
        <w:top w:val="none" w:sz="0" w:space="0" w:color="auto"/>
        <w:left w:val="none" w:sz="0" w:space="0" w:color="auto"/>
        <w:bottom w:val="none" w:sz="0" w:space="0" w:color="auto"/>
        <w:right w:val="none" w:sz="0" w:space="0" w:color="auto"/>
      </w:divBdr>
    </w:div>
    <w:div w:id="630288381">
      <w:bodyDiv w:val="1"/>
      <w:marLeft w:val="0"/>
      <w:marRight w:val="0"/>
      <w:marTop w:val="0"/>
      <w:marBottom w:val="0"/>
      <w:divBdr>
        <w:top w:val="none" w:sz="0" w:space="0" w:color="auto"/>
        <w:left w:val="none" w:sz="0" w:space="0" w:color="auto"/>
        <w:bottom w:val="none" w:sz="0" w:space="0" w:color="auto"/>
        <w:right w:val="none" w:sz="0" w:space="0" w:color="auto"/>
      </w:divBdr>
    </w:div>
    <w:div w:id="815075500">
      <w:bodyDiv w:val="1"/>
      <w:marLeft w:val="0"/>
      <w:marRight w:val="0"/>
      <w:marTop w:val="0"/>
      <w:marBottom w:val="0"/>
      <w:divBdr>
        <w:top w:val="none" w:sz="0" w:space="0" w:color="auto"/>
        <w:left w:val="none" w:sz="0" w:space="0" w:color="auto"/>
        <w:bottom w:val="none" w:sz="0" w:space="0" w:color="auto"/>
        <w:right w:val="none" w:sz="0" w:space="0" w:color="auto"/>
      </w:divBdr>
    </w:div>
    <w:div w:id="936408591">
      <w:bodyDiv w:val="1"/>
      <w:marLeft w:val="0"/>
      <w:marRight w:val="0"/>
      <w:marTop w:val="0"/>
      <w:marBottom w:val="0"/>
      <w:divBdr>
        <w:top w:val="none" w:sz="0" w:space="0" w:color="auto"/>
        <w:left w:val="none" w:sz="0" w:space="0" w:color="auto"/>
        <w:bottom w:val="none" w:sz="0" w:space="0" w:color="auto"/>
        <w:right w:val="none" w:sz="0" w:space="0" w:color="auto"/>
      </w:divBdr>
    </w:div>
    <w:div w:id="1071082088">
      <w:bodyDiv w:val="1"/>
      <w:marLeft w:val="0"/>
      <w:marRight w:val="0"/>
      <w:marTop w:val="0"/>
      <w:marBottom w:val="0"/>
      <w:divBdr>
        <w:top w:val="none" w:sz="0" w:space="0" w:color="auto"/>
        <w:left w:val="none" w:sz="0" w:space="0" w:color="auto"/>
        <w:bottom w:val="none" w:sz="0" w:space="0" w:color="auto"/>
        <w:right w:val="none" w:sz="0" w:space="0" w:color="auto"/>
      </w:divBdr>
    </w:div>
    <w:div w:id="1351250639">
      <w:bodyDiv w:val="1"/>
      <w:marLeft w:val="0"/>
      <w:marRight w:val="0"/>
      <w:marTop w:val="0"/>
      <w:marBottom w:val="0"/>
      <w:divBdr>
        <w:top w:val="none" w:sz="0" w:space="0" w:color="auto"/>
        <w:left w:val="none" w:sz="0" w:space="0" w:color="auto"/>
        <w:bottom w:val="none" w:sz="0" w:space="0" w:color="auto"/>
        <w:right w:val="none" w:sz="0" w:space="0" w:color="auto"/>
      </w:divBdr>
    </w:div>
    <w:div w:id="1358848270">
      <w:bodyDiv w:val="1"/>
      <w:marLeft w:val="0"/>
      <w:marRight w:val="0"/>
      <w:marTop w:val="0"/>
      <w:marBottom w:val="0"/>
      <w:divBdr>
        <w:top w:val="none" w:sz="0" w:space="0" w:color="auto"/>
        <w:left w:val="none" w:sz="0" w:space="0" w:color="auto"/>
        <w:bottom w:val="none" w:sz="0" w:space="0" w:color="auto"/>
        <w:right w:val="none" w:sz="0" w:space="0" w:color="auto"/>
      </w:divBdr>
    </w:div>
    <w:div w:id="1359162900">
      <w:bodyDiv w:val="1"/>
      <w:marLeft w:val="0"/>
      <w:marRight w:val="0"/>
      <w:marTop w:val="0"/>
      <w:marBottom w:val="0"/>
      <w:divBdr>
        <w:top w:val="none" w:sz="0" w:space="0" w:color="auto"/>
        <w:left w:val="none" w:sz="0" w:space="0" w:color="auto"/>
        <w:bottom w:val="none" w:sz="0" w:space="0" w:color="auto"/>
        <w:right w:val="none" w:sz="0" w:space="0" w:color="auto"/>
      </w:divBdr>
    </w:div>
    <w:div w:id="1476484577">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742870431">
      <w:bodyDiv w:val="1"/>
      <w:marLeft w:val="0"/>
      <w:marRight w:val="0"/>
      <w:marTop w:val="0"/>
      <w:marBottom w:val="0"/>
      <w:divBdr>
        <w:top w:val="none" w:sz="0" w:space="0" w:color="auto"/>
        <w:left w:val="none" w:sz="0" w:space="0" w:color="auto"/>
        <w:bottom w:val="none" w:sz="0" w:space="0" w:color="auto"/>
        <w:right w:val="none" w:sz="0" w:space="0" w:color="auto"/>
      </w:divBdr>
    </w:div>
    <w:div w:id="1967589047">
      <w:bodyDiv w:val="1"/>
      <w:marLeft w:val="0"/>
      <w:marRight w:val="0"/>
      <w:marTop w:val="0"/>
      <w:marBottom w:val="0"/>
      <w:divBdr>
        <w:top w:val="none" w:sz="0" w:space="0" w:color="auto"/>
        <w:left w:val="none" w:sz="0" w:space="0" w:color="auto"/>
        <w:bottom w:val="none" w:sz="0" w:space="0" w:color="auto"/>
        <w:right w:val="none" w:sz="0" w:space="0" w:color="auto"/>
      </w:divBdr>
    </w:div>
    <w:div w:id="212330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Ric88</b:Tag>
    <b:SourceType>JournalArticle</b:SourceType>
    <b:Guid>{B75E1230-B2C4-45E8-9F49-FCB24251EEDC}</b:Guid>
    <b:Author>
      <b:Author>
        <b:Corporate>R. J. Evans</b:Corporate>
      </b:Author>
    </b:Author>
    <b:Title>The Past and Present Society</b:Title>
    <b:Year>1988</b:Year>
    <b:JournalName>Oxford Journals</b:JournalName>
    <b:Month>August</b:Month>
    <b:Pages>123-146</b:Pages>
    <b:Issue>120</b:Issue>
    <b:RefOrder>1</b:RefOrder>
  </b:Source>
  <b:Source>
    <b:Tag>Ian17</b:Tag>
    <b:SourceType>JournalArticle</b:SourceType>
    <b:Guid>{C371EFED-BF52-48D3-BDC1-A3E1041F1921}</b:Guid>
    <b:Author>
      <b:Author>
        <b:Corporate>A. Ianakiev et al.</b:Corporate>
      </b:Author>
    </b:Author>
    <b:Title>Innovative System for Delivery of Low Temperature District Heating</b:Title>
    <b:JournalName>International Journal of Sustainable Energy Planning and Management</b:JournalName>
    <b:Year>2017</b:Year>
    <b:Pages>19-28</b:Pages>
    <b:Volume>12</b:Volume>
    <b:RefOrder>2</b:RefOrder>
  </b:Source>
  <b:Source>
    <b:Tag>Kol09</b:Tag>
    <b:SourceType>JournalArticle</b:SourceType>
    <b:Guid>{97CE757B-769C-4A7A-A78E-A3EC2B5E1B2F}</b:Guid>
    <b:Author>
      <b:Author>
        <b:Corporate>N. Kollikkathara et al.</b:Corporate>
      </b:Author>
    </b:Author>
    <b:Title>A purview of waste management evolution: Special emphasis on USA</b:Title>
    <b:JournalName>Waste Management</b:JournalName>
    <b:Year>2009</b:Year>
    <b:Pages>974-985</b:Pages>
    <b:Volume>29</b:Volume>
    <b:RefOrder>3</b:RefOrder>
  </b:Source>
  <b:Source>
    <b:Tag>Jap14</b:Tag>
    <b:SourceType>Report</b:SourceType>
    <b:Guid>{BB76EEAB-5BB7-42DB-AA8A-425F05F975F0}</b:Guid>
    <b:Author>
      <b:Author>
        <b:Corporate>Japan Environmental Sanitation Center</b:Corporate>
      </b:Author>
    </b:Author>
    <b:Title>History and Current State of Waste Management in Japan</b:Title>
    <b:Year>2014</b:Year>
    <b:Institution>Ministry of the Environment of Japan</b:Institution>
    <b:City>Chiyoda-yu</b:City>
    <b:RefOrder>4</b:RefOrder>
  </b:Source>
  <b:Source>
    <b:Tag>Dep15</b:Tag>
    <b:SourceType>Report</b:SourceType>
    <b:Guid>{0834E172-ACE8-49D3-A4D0-F66DD5FA39C5}</b:Guid>
    <b:Author>
      <b:Author>
        <b:Corporate>Department of Economic and Social Affaires, Population Division</b:Corporate>
      </b:Author>
    </b:Author>
    <b:Title>World Population Prospects: The 2015 Revision</b:Title>
    <b:Year>2015</b:Year>
    <b:Institution>United Nations</b:Institution>
    <b:City>New York</b:City>
    <b:ThesisType>Working Paper</b:ThesisType>
    <b:StandardNumber>ESA/P/WP.241</b:StandardNumber>
    <b:RefOrder>5</b:RefOrder>
  </b:Source>
  <b:Source>
    <b:Tag>Off16</b:Tag>
    <b:SourceType>Report</b:SourceType>
    <b:Guid>{1FEF802A-7DEB-42F1-A39D-E7143A982B48}</b:Guid>
    <b:Author>
      <b:Author>
        <b:Corporate>Office of Land and Emergency Management</b:Corporate>
      </b:Author>
    </b:Author>
    <b:Title>Advancing Sustainable Materials Management: 2014 Fact Sheet</b:Title>
    <b:Year>2016</b:Year>
    <b:Institution>United States Environmental Protection Agency</b:Institution>
    <b:City>Washington</b:City>
    <b:RefOrder>6</b:RefOrder>
  </b:Source>
  <b:Source>
    <b:Tag>BPS17</b:Tag>
    <b:SourceType>Report</b:SourceType>
    <b:Guid>{03EE41CC-EF78-4AEC-BC92-B2261FD9A6D7}</b:Guid>
    <b:Title>BP Statistical Review of World Energy 66th edition</b:Title>
    <b:Year>2017</b:Year>
    <b:Institution>BP Statistical Review of World Energy</b:Institution>
    <b:City>London</b:City>
    <b:Author>
      <b:Author>
        <b:Corporate>BP Statistical Review of World Energy</b:Corporate>
      </b:Author>
    </b:Author>
    <b:RefOrder>7</b:RefOrder>
  </b:Source>
  <b:Source>
    <b:Tag>RPa17</b:Tag>
    <b:SourceType>JournalArticle</b:SourceType>
    <b:Guid>{F42ED04F-1FBA-4F61-807A-E364CA0D338A}</b:Guid>
    <b:Author>
      <b:Author>
        <b:Corporate>R. Parkes</b:Corporate>
      </b:Author>
    </b:Author>
    <b:Title>Biomethane: green gas rising?</b:Title>
    <b:Year>2017</b:Year>
    <b:JournalName>Renewable Energy Focus</b:JournalName>
    <b:Month>April</b:Month>
    <b:Pages>33-35</b:Pages>
    <b:Volume>18</b:Volume>
    <b:RefOrder>8</b:RefOrder>
  </b:Source>
  <b:Source>
    <b:Tag>PJh17</b:Tag>
    <b:SourceType>JournalArticle</b:SourceType>
    <b:Guid>{65AEA751-1151-4A98-B90A-ECBAA627DDA9}</b:Guid>
    <b:Author>
      <b:Author>
        <b:Corporate>P. Jha, S. Schmidt</b:Corporate>
      </b:Author>
    </b:Author>
    <b:Title>Reappraisal of chemical interference in anaerobic digestion processes</b:Title>
    <b:JournalName>Renewable and Sustainable Energy Reviews</b:JournalName>
    <b:Year>2017</b:Year>
    <b:Pages>954-971</b:Pages>
    <b:Volume>75</b:Volume>
    <b:RefOrder>9</b:RefOrder>
  </b:Source>
  <b:Source>
    <b:Tag>LLi17</b:Tag>
    <b:SourceType>ArticleInAPeriodical</b:SourceType>
    <b:Guid>{16B55CD5-14C0-4365-A905-6937D3696C7F}</b:Guid>
    <b:Author>
      <b:Author>
        <b:Corporate>L. Li et al.</b:Corporate>
      </b:Author>
    </b:Author>
    <b:Title>Anaerobic digestion of food waste: A review focusing on process stability</b:Title>
    <b:Year>2017</b:Year>
    <b:PeriodicalTitle>Bioresour.Technol.</b:PeriodicalTitle>
    <b:RefOrder>10</b:RefOrder>
  </b:Source>
  <b:Source>
    <b:Tag>HLi17</b:Tag>
    <b:SourceType>JournalArticle</b:SourceType>
    <b:Guid>{A28FC696-6F45-4013-BF93-1070E4157F09}</b:Guid>
    <b:Author>
      <b:Author>
        <b:Corporate>H. Li et al.</b:Corporate>
      </b:Author>
    </b:Author>
    <b:Title>Biomethane production via anaerobic digestion and biomass gasification</b:Title>
    <b:Year>2017</b:Year>
    <b:Pages>1172-1177</b:Pages>
    <b:Volume>105</b:Volume>
    <b:JournalName>Energy Procedia</b:JournalName>
    <b:RefOrder>11</b:RefOrder>
  </b:Source>
  <b:Source>
    <b:Tag>Off11</b:Tag>
    <b:SourceType>Report</b:SourceType>
    <b:Guid>{ABB80383-5ADC-40B4-91A1-3245D85F359A}</b:Guid>
    <b:Title>Biomethane Greenhouse Gas Emissions Review</b:Title>
    <b:Year>2011</b:Year>
    <b:Author>
      <b:Author>
        <b:Corporate>Offsetters</b:Corporate>
      </b:Author>
    </b:Author>
    <b:Institution>FortisBC</b:Institution>
    <b:RefOrder>12</b:RefOrder>
  </b:Source>
  <b:Source>
    <b:Tag>the15</b:Tag>
    <b:SourceType>InternetSite</b:SourceType>
    <b:Guid>{57A3EC6C-6B6F-4F74-9D26-762D8A17C94C}</b:Guid>
    <b:Year>2015</b:Year>
    <b:Author>
      <b:Author>
        <b:Corporate>theguardian newspaper</b:Corporate>
      </b:Author>
    </b:Author>
    <b:InternetSiteTitle>theguardian</b:InternetSiteTitle>
    <b:Month>March</b:Month>
    <b:URL>https://www.theguardian.com/uk-news/2015/mar/15/uk-first-poo-bio-bus-bristol-regular-service</b:URL>
    <b:RefOrder>13</b:RefOrder>
  </b:Source>
</b:Sources>
</file>

<file path=customXml/itemProps1.xml><?xml version="1.0" encoding="utf-8"?>
<ds:datastoreItem xmlns:ds="http://schemas.openxmlformats.org/officeDocument/2006/customXml" ds:itemID="{7041197D-6287-4F06-B381-F2B5D65A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12559</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2019-04-07T18:29:00Z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