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C98A2C"/>
          <w:sz w:val="22"/>
          <w:szCs w:val="22"/>
        </w:rPr>
        <w:t xml:space="preserve">WEBSITE HỌC TIẾNG TRUNG · TÀI LIỆU 06/12</w:t>
      </w:r>
    </w:p>
    <w:p>
      <w:pPr>
        <w:spacing w:before="200"/>
      </w:pPr>
    </w:p>
    <w:p>
      <w:pPr>
        <w:jc w:val="center"/>
      </w:pPr>
      <w:r>
        <w:rPr>
          <w:b/>
          <w:bCs/>
          <w:color w:val="B02E1F"/>
          <w:sz w:val="52"/>
          <w:szCs w:val="52"/>
        </w:rPr>
        <w:t xml:space="preserve">Hạ Tầng &amp; DevOps</w:t>
      </w:r>
    </w:p>
    <w:p>
      <w:pPr>
        <w:spacing w:before="200"/>
      </w:pPr>
    </w:p>
    <w:p>
      <w:pPr>
        <w:jc w:val="center"/>
      </w:pPr>
      <w:r>
        <w:rPr>
          <w:color w:val="1F1B16"/>
          <w:sz w:val="26"/>
          <w:szCs w:val="26"/>
        </w:rPr>
        <w:t xml:space="preserve">Infrastructure &amp; DevOps</w:t>
      </w:r>
    </w:p>
    <w:p>
      <w:pPr>
        <w:spacing w:before="800"/>
      </w:pPr>
    </w:p>
    <w:p>
      <w:pPr>
        <w:pBdr>
          <w:top w:val="single" w:color="E4D9C8" w:sz="6" w:space="10"/>
        </w:pBdr>
        <w:jc w:val="center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i/>
          <w:iCs/>
          <w:color w:val="6B6156"/>
          <w:sz w:val="20"/>
          <w:szCs w:val="20"/>
        </w:rPr>
        <w:t xml:space="preserve">Production Readiness Documentation Set</w:t>
      </w:r>
    </w:p>
    <w:p>
      <w:r>
        <w:br w:type="page"/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1. Quy trình phát hành (DevOps)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Local, development, testing, staging và production riêng biệt.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Git branching và pull request; code review bắt buộc.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CI/CD; lint và type check; unit và integration test; security scan.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Docker build; deploy staging; smoke test; deploy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Database migration an toàn; rollback ứng dụng và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Blue-green, rolling hoặc canary deployment.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Feature flags; Infrastructure as Code; secret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Domain, DNS, SSL và CDN.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Không sửa trực tiếp production thủ công nếu có thể tránh.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2. Compatibility và quản lý phiên bản frontend</w:t>
      </w:r>
    </w:p>
    <w:p>
      <w:pPr>
        <w:spacing w:after="120"/>
      </w:pPr>
      <w:r>
        <w:rPr>
          <w:color w:val="1F1B16"/>
        </w:rPr>
        <w:t xml:space="preserve">Khi deploy frontend mới nhưng người dùng còn mở tab phiên bản cũ, có thể xảy ra lỗi API hoặc schema. Cần có: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Build version; API compatibility matrix; client-version header.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Phát hiện phiên bản quá cũ; yêu cầu reload ứng dụng.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Cache busting; Service Worker update strategy.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Không xóa API cũ ngay khi deploy; grace period cho client cũ.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3. Supply-chain security trong CI/CD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Dependency vulnerability scan; container image scan; secret scan.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Static application security testing (SAST); license scan; Software Bill of Materials (SBOM).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Ký container image; pin dependency version.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Bảo vệ branch chính; bắt buộc code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Không deploy từ máy cá nhân trực tiếp; production deployment dùng tài khoản service riêng.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1B16"/>
        </w:rPr>
        <w:t xml:space="preserve">Quyền CI/CD theo least privilege.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4. Deployment topology theo môi trường</w:t>
      </w:r>
    </w:p>
    <w:p>
      <w:pPr>
        <w:spacing w:after="120"/>
      </w:pPr>
      <w:r>
        <w:rPr>
          <w:color w:val="1F1B16"/>
        </w:rPr>
        <w:t xml:space="preserve">Cần vẽ riêng cho Local, Development, Testing, Staging, Production, Disaster Recovery — mỗi môi trường ghi rõ domain, network, compute, database, Redis, storage, queue, monitoring, secrets, data source, quyền truy cập.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5. Sơ đồ hạ tầng đề xuất</w:t>
      </w:r>
    </w:p>
    <w:p>
      <w:pPr>
        <w:spacing w:after="120"/>
      </w:pPr>
      <w:r>
        <w:rPr>
          <w:color w:val="1F1B16"/>
        </w:rPr>
        <w:t xml:space="preserve">```</w:t>
      </w:r>
    </w:p>
    <w:p>
      <w:pPr>
        <w:spacing w:after="120"/>
      </w:pPr>
      <w:r>
        <w:rPr>
          <w:color w:val="1F1B16"/>
        </w:rPr>
        <w:t xml:space="preserve">Internet</w:t>
      </w:r>
    </w:p>
    <w:p>
      <w:pPr>
        <w:spacing w:after="120"/>
      </w:pPr>
      <w:r>
        <w:rPr>
          <w:color w:val="1F1B16"/>
        </w:rPr>
        <w:t xml:space="preserve">↓</w:t>
      </w:r>
    </w:p>
    <w:p>
      <w:pPr>
        <w:spacing w:after="120"/>
      </w:pPr>
      <w:r>
        <w:rPr>
          <w:color w:val="1F1B16"/>
        </w:rPr>
        <w:t xml:space="preserve">DNS</w:t>
      </w:r>
    </w:p>
    <w:p>
      <w:pPr>
        <w:spacing w:after="120"/>
      </w:pPr>
      <w:r>
        <w:rPr>
          <w:color w:val="1F1B16"/>
        </w:rPr>
        <w:t xml:space="preserve">↓</w:t>
      </w:r>
    </w:p>
    <w:p>
      <w:pPr>
        <w:spacing w:after="120"/>
      </w:pPr>
      <w:r>
        <w:rPr>
          <w:color w:val="1F1B16"/>
        </w:rPr>
        <w:t xml:space="preserve">CDN + DDoS Protection + WAF</w:t>
      </w:r>
    </w:p>
    <w:p>
      <w:pPr>
        <w:spacing w:after="120"/>
      </w:pPr>
      <w:r>
        <w:rPr>
          <w:color w:val="1F1B16"/>
        </w:rPr>
        <w:t xml:space="preserve">↓</w:t>
      </w:r>
    </w:p>
    <w:p>
      <w:pPr>
        <w:spacing w:after="120"/>
      </w:pPr>
      <w:r>
        <w:rPr>
          <w:color w:val="1F1B16"/>
        </w:rPr>
        <w:t xml:space="preserve">Load Balancer / Reverse Proxy</w:t>
      </w:r>
    </w:p>
    <w:p>
      <w:pPr>
        <w:spacing w:after="120"/>
      </w:pPr>
      <w:r>
        <w:rPr>
          <w:color w:val="1F1B16"/>
        </w:rPr>
        <w:t xml:space="preserve">↓</w:t>
      </w:r>
    </w:p>
    <w:p>
      <w:pPr>
        <w:spacing w:after="120"/>
      </w:pPr>
      <w:r>
        <w:rPr>
          <w:color w:val="1F1B16"/>
        </w:rPr>
        <w:t xml:space="preserve">Next.js Public      Next.js Admin</w:t>
      </w:r>
    </w:p>
    <w:p>
      <w:pPr>
        <w:spacing w:after="120"/>
      </w:pPr>
      <w:r>
        <w:rPr>
          <w:color w:val="1F1B16"/>
        </w:rPr>
        <w:t xml:space="preserve">↓                       ↓</w:t>
      </w:r>
    </w:p>
    <w:p>
      <w:pPr>
        <w:spacing w:after="120"/>
      </w:pPr>
      <w:r>
        <w:rPr>
          <w:color w:val="1F1B16"/>
        </w:rPr>
        <w:t xml:space="preserve">ASP.NET Core API</w:t>
      </w:r>
    </w:p>
    <w:p>
      <w:pPr>
        <w:spacing w:after="120"/>
      </w:pPr>
      <w:r>
        <w:rPr>
          <w:color w:val="1F1B16"/>
        </w:rPr>
        <w:t xml:space="preserve">↓</w:t>
      </w:r>
    </w:p>
    <w:p>
      <w:pPr>
        <w:spacing w:after="120"/>
      </w:pPr>
      <w:r>
        <w:rPr>
          <w:color w:val="1F1B16"/>
        </w:rPr>
        <w:t xml:space="preserve">PostgreSQL Primary · Redis · Object Storage · Queue · Search</w:t>
      </w:r>
    </w:p>
    <w:p>
      <w:pPr>
        <w:spacing w:after="120"/>
      </w:pPr>
      <w:r>
        <w:rPr>
          <w:color w:val="1F1B16"/>
        </w:rPr>
        <w:t xml:space="preserve">↓</w:t>
      </w:r>
    </w:p>
    <w:p>
      <w:pPr>
        <w:spacing w:after="120"/>
      </w:pPr>
      <w:r>
        <w:rPr>
          <w:color w:val="1F1B16"/>
        </w:rPr>
        <w:t xml:space="preserve">Workers</w:t>
      </w:r>
    </w:p>
    <w:p>
      <w:pPr>
        <w:spacing w:after="120"/>
      </w:pPr>
      <w:r>
        <w:rPr>
          <w:color w:val="1F1B16"/>
        </w:rPr>
        <w:t xml:space="preserve">```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6. Change management</w:t>
      </w:r>
    </w:p>
    <w:p>
      <w:pPr>
        <w:spacing w:after="120"/>
      </w:pPr>
      <w:r>
        <w:rPr>
          <w:color w:val="1F1B16"/>
        </w:rPr>
        <w:t xml:space="preserve">Change request · risk level · reviewer · maintenance window · communication · rollback plan · post-deployment verification · emergency change process · audit.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7. Migration runbook (expand–migrate–contract)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</w:rPr>
        <w:t xml:space="preserve">Thêm schema mới tương thích ngược.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</w:rPr>
        <w:t xml:space="preserve">Deploy code đọc/ghi cả hai dạng.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</w:rPr>
        <w:t xml:space="preserve">Backfill dữ liệu (có khả năng resume).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</w:rPr>
        <w:t xml:space="preserve">Chuyển hoàn toàn sang schema mới.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6"/>
        </w:rPr>
        <w:t xml:space="preserve">Xóa schema cũ ở release sau.</w:t>
      </w:r>
    </w:p>
    <w:p>
      <w:pPr>
        <w:spacing w:after="120"/>
      </w:pPr>
      <w:r>
        <w:rPr>
          <w:color w:val="1F1B16"/>
        </w:rPr>
        <w:t xml:space="preserve">Bổ sung: dry-run, backup trước migration nguy hiểm, ước tính thời gian lock, verification query, rollback hoặc forward-fix, tài khoản migration runtime riêng.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8. Capacity planning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8"/>
        <w:gridCol w:w="1558"/>
        <w:gridCol w:w="1558"/>
        <w:gridCol w:w="1558"/>
        <w:gridCol w:w="1558"/>
        <w:gridCol w:w="1558"/>
      </w:tblGrid>
      <w:tr>
        <w:trPr>
          <w:tblHeader/>
        </w:trPr>
        <w:tc>
          <w:tcPr>
            <w:tcW w:type="dxa" w:w="1558"/>
            <w:shd w:fill="B0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Tải</w:t>
            </w:r>
          </w:p>
        </w:tc>
        <w:tc>
          <w:tcPr>
            <w:tcW w:type="dxa" w:w="1558"/>
            <w:shd w:fill="B0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instance</w:t>
            </w:r>
          </w:p>
        </w:tc>
        <w:tc>
          <w:tcPr>
            <w:tcW w:type="dxa" w:w="1558"/>
            <w:shd w:fill="B0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DB connection</w:t>
            </w:r>
          </w:p>
        </w:tc>
        <w:tc>
          <w:tcPr>
            <w:tcW w:type="dxa" w:w="1558"/>
            <w:shd w:fill="B0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1558"/>
            <w:shd w:fill="B0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Redis</w:t>
            </w:r>
          </w:p>
        </w:tc>
        <w:tc>
          <w:tcPr>
            <w:tcW w:type="dxa" w:w="1558"/>
            <w:shd w:fill="B0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Bandwidth</w:t>
            </w:r>
          </w:p>
        </w:tc>
      </w:tr>
      <w:tr>
        <w:trPr>
          <w:tblHeader w:val="false"/>
        </w:trPr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100 concurrent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</w:tr>
      <w:tr>
        <w:trPr>
          <w:tblHeader w:val="false"/>
        </w:trPr>
        <w:tc>
          <w:tcPr>
            <w:tcW w:type="dxa" w:w="1558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1.000 concurrent</w:t>
            </w:r>
          </w:p>
        </w:tc>
        <w:tc>
          <w:tcPr>
            <w:tcW w:type="dxa" w:w="1558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  <w:tc>
          <w:tcPr>
            <w:tcW w:type="dxa" w:w="1558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  <w:tc>
          <w:tcPr>
            <w:tcW w:type="dxa" w:w="1558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  <w:tc>
          <w:tcPr>
            <w:tcW w:type="dxa" w:w="1558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  <w:tc>
          <w:tcPr>
            <w:tcW w:type="dxa" w:w="1558"/>
            <w:shd w:fill="FB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</w:tr>
      <w:tr>
        <w:trPr>
          <w:tblHeader w:val="false"/>
        </w:trPr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10.000 concurrent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  <w:tc>
          <w:tcPr>
            <w:tcW w:type="dxa" w:w="155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color w:val="1F1B16"/>
        </w:rPr>
        <w:t xml:space="preserve">Autoscaling nên dựa trên nhiều metric: request concurrency, P95 latency, queue depth, active connection, worker job duration, memory pressure, database saturation — không chỉ CPU.</w:t>
      </w:r>
    </w:p>
    <w:p>
      <w:pPr>
        <w:pStyle w:val="Heading1"/>
        <w:pBdr>
          <w:bottom w:val="single" w:color="B02E1F" w:sz="8" w:space="6"/>
        </w:pBdr>
        <w:spacing w:after="160" w:before="320"/>
      </w:pPr>
      <w:r>
        <w:rPr>
          <w:b/>
          <w:bCs/>
          <w:color w:val="B02E1F"/>
        </w:rPr>
        <w:t xml:space="preserve">9. Không nên triển khai quá sớm</w:t>
      </w:r>
    </w:p>
    <w:p>
      <w:pPr>
        <w:spacing w:after="120"/>
      </w:pPr>
      <w:r>
        <w:rPr>
          <w:color w:val="1F1B16"/>
        </w:rPr>
        <w:t xml:space="preserve">Multi-region, microservices, Kubernetes (nếu tải chưa đủ lớn), search engine riêng (nếu PostgreSQL FTS đáp ứng), read replica (nếu chưa có báo cáo nặng) nên ở P2 và chỉ triển khai khi có yêu cầu kinh doanh rõ ràng.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)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B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2026-07-27T04:36:47.373Z</dcterms:created>
  <dcterms:modified xsi:type="dcterms:W3CDTF">2026-07-27T04:36:47.373Z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