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98A2C"/>
          <w:sz w:val="22"/>
          <w:szCs w:val="22"/>
        </w:rPr>
        <w:t xml:space="preserve">WEBSITE HỌC TIẾNG TRUNG · TÀI LIỆU 09/12</w:t>
      </w:r>
    </w:p>
    <w:p>
      <w:pPr>
        <w:spacing w:before="200"/>
      </w:pPr>
    </w:p>
    <w:p>
      <w:pPr>
        <w:jc w:val="center"/>
      </w:pPr>
      <w:r>
        <w:rPr>
          <w:b/>
          <w:bCs/>
          <w:color w:val="B02E1F"/>
          <w:sz w:val="52"/>
          <w:szCs w:val="52"/>
        </w:rPr>
        <w:t xml:space="preserve">Vận Hành &amp; Xử Lý Sự Cố</w:t>
      </w:r>
    </w:p>
    <w:p>
      <w:pPr>
        <w:spacing w:before="200"/>
      </w:pPr>
    </w:p>
    <w:p>
      <w:pPr>
        <w:jc w:val="center"/>
      </w:pPr>
      <w:r>
        <w:rPr>
          <w:color w:val="1F1B16"/>
          <w:sz w:val="26"/>
          <w:szCs w:val="26"/>
        </w:rPr>
        <w:t xml:space="preserve">Operations &amp; Incident Response</w:t>
      </w:r>
    </w:p>
    <w:p>
      <w:pPr>
        <w:spacing w:before="800"/>
      </w:pPr>
    </w:p>
    <w:p>
      <w:pPr>
        <w:pBdr>
          <w:top w:val="single" w:color="E4D9C8" w:sz="6" w:space="10"/>
        </w:pBdr>
        <w:jc w:val="center"/>
      </w:pPr>
      <w:r>
        <w:rPr>
          <w:sz w:val="2"/>
          <w:szCs w:val="2"/>
        </w:rPr>
        <w:t xml:space="preserve"/>
      </w:r>
    </w:p>
    <w:p>
      <w:pPr>
        <w:spacing w:before="200"/>
        <w:jc w:val="center"/>
      </w:pPr>
      <w:r>
        <w:rPr>
          <w:i/>
          <w:iCs/>
          <w:color w:val="6B6156"/>
          <w:sz w:val="20"/>
          <w:szCs w:val="20"/>
        </w:rPr>
        <w:t xml:space="preserve">Production Readiness Documentation Set</w:t>
      </w:r>
    </w:p>
    <w:p>
      <w:r>
        <w:br w:type="page"/>
      </w:r>
    </w:p>
    <w:p>
      <w:pPr>
        <w:pStyle w:val="Heading1"/>
        <w:pBdr>
          <w:bottom w:val="single" w:color="B02E1F" w:sz="8" w:space="6"/>
        </w:pBdr>
        <w:spacing w:after="160" w:before="320"/>
      </w:pPr>
      <w:r>
        <w:rPr>
          <w:b/>
          <w:bCs/>
          <w:color w:val="B02E1F"/>
        </w:rPr>
        <w:t xml:space="preserve">1. Logging, Metrics và Tracing</w:t>
      </w:r>
    </w:p>
    <w:p>
      <w:pPr>
        <w:spacing w:after="120"/>
      </w:pPr>
      <w:r>
        <w:rPr>
          <w:b/>
          <w:bCs/>
          <w:color w:val="1F1B16"/>
        </w:rPr>
        <w:t xml:space="preserve">Logs:</w:t>
      </w:r>
      <w:r>
        <w:rPr>
          <w:color w:val="1F1B16"/>
        </w:rPr>
        <w:t xml:space="preserve"> application log · request log · security log · audit log · background-job log.</w:t>
      </w:r>
    </w:p>
    <w:p>
      <w:pPr>
        <w:spacing w:after="120"/>
      </w:pPr>
      <w:r>
        <w:rPr>
          <w:b/>
          <w:bCs/>
          <w:color w:val="1F1B16"/>
        </w:rPr>
        <w:t xml:space="preserve">Metrics:</w:t>
      </w:r>
      <w:r>
        <w:rPr>
          <w:color w:val="1F1B16"/>
        </w:rPr>
        <w:t xml:space="preserve"> request rate · error rate · response time · CPU và RAM · database connection · Redis cache hit rate · queue depth · số người dùng đang hoạt động · tỷ lệ hoàn thành bài học · chi phí AI và media.</w:t>
      </w:r>
    </w:p>
    <w:p>
      <w:pPr>
        <w:spacing w:after="120"/>
      </w:pPr>
      <w:r>
        <w:rPr>
          <w:b/>
          <w:bCs/>
          <w:color w:val="1F1B16"/>
        </w:rPr>
        <w:t xml:space="preserve">Tracing:</w:t>
      </w:r>
      <w:r>
        <w:rPr>
          <w:color w:val="1F1B16"/>
        </w:rPr>
        <w:t xml:space="preserve"> theo dõi request xuyên suốt Frontend → API → Database → Redis → Storage → AI. Mỗi request nên có Request ID, Correlation ID, Trace ID.</w:t>
      </w:r>
    </w:p>
    <w:p>
      <w:pPr>
        <w:pStyle w:val="Heading2"/>
        <w:spacing w:after="120" w:before="260"/>
      </w:pPr>
      <w:r>
        <w:rPr>
          <w:b/>
          <w:bCs/>
          <w:color w:val="1F1B16"/>
        </w:rPr>
        <w:t xml:space="preserve">Log schema chuẩn hóa</w:t>
      </w:r>
    </w:p>
    <w:p>
      <w:pPr>
        <w:spacing w:after="120"/>
      </w:pPr>
      <w:r>
        <w:rPr>
          <w:color w:val="1F1B16"/>
        </w:rPr>
        <w:t xml:space="preserve">`timestamp`, `level`, `service`, `environment`, `version`, `requestId`, `traceId`, `userIdHash`, `eventName`, `errorCode`, `duration`, `result`.</w:t>
      </w:r>
    </w:p>
    <w:p>
      <w:pPr>
        <w:pStyle w:val="Heading2"/>
        <w:spacing w:after="120" w:before="260"/>
      </w:pPr>
      <w:r>
        <w:rPr>
          <w:b/>
          <w:bCs/>
          <w:color w:val="1F1B16"/>
        </w:rPr>
        <w:t xml:space="preserve">Log redaction — không log</w:t>
      </w:r>
    </w:p>
    <w:p>
      <w:pPr>
        <w:spacing w:after="120"/>
      </w:pPr>
      <w:r>
        <w:rPr>
          <w:color w:val="1F1B16"/>
        </w:rPr>
        <w:t xml:space="preserve">Mật khẩu · access token · refresh token · cookie · Authorization header · recording URL · full payment information · nội dung nhạy cảm do người dùng nhập.</w:t>
      </w:r>
    </w:p>
    <w:p>
      <w:pPr>
        <w:pStyle w:val="Heading1"/>
        <w:pBdr>
          <w:bottom w:val="single" w:color="B02E1F" w:sz="8" w:space="6"/>
        </w:pBdr>
        <w:spacing w:after="160" w:before="320"/>
      </w:pPr>
      <w:r>
        <w:rPr>
          <w:b/>
          <w:bCs/>
          <w:color w:val="B02E1F"/>
        </w:rPr>
        <w:t xml:space="preserve">2. Metric nghiệp vụ (business-level observability)</w:t>
      </w:r>
    </w:p>
    <w:p>
      <w:pPr>
        <w:spacing w:after="120"/>
      </w:pPr>
      <w:r>
        <w:rPr>
          <w:color w:val="1F1B16"/>
        </w:rPr>
        <w:t xml:space="preserve">Lesson load success rate · lesson save success rate · exercise submit success rate · progress synchronization success · audio playback success · recording upload success · SRS scheduling correctness · search zero-result rate · content broken-link rate.</w:t>
      </w:r>
    </w:p>
    <w:p>
      <w:pPr>
        <w:pStyle w:val="Heading1"/>
        <w:pBdr>
          <w:bottom w:val="single" w:color="B02E1F" w:sz="8" w:space="6"/>
        </w:pBdr>
        <w:spacing w:after="160" w:before="320"/>
      </w:pPr>
      <w:r>
        <w:rPr>
          <w:b/>
          <w:bCs/>
          <w:color w:val="B02E1F"/>
        </w:rPr>
        <w:t xml:space="preserve">3. SLO, cảnh báo và error budget</w:t>
      </w:r>
    </w:p>
    <w:p>
      <w:pPr>
        <w:spacing w:after="120"/>
      </w:pPr>
      <w:r>
        <w:rPr>
          <w:color w:val="1F1B16"/>
        </w:rPr>
        <w:t xml:space="preserve">Ví dụ mục tiêu: API availability ≥ 99,9% · P95 API latency &lt; 500 ms · tỷ lệ lỗi API &lt; 1% · audio start time &lt; 1,5 giây · lesson save success ≥ 99,9%.</w:t>
      </w:r>
    </w:p>
    <w:p>
      <w:pPr>
        <w:spacing w:after="120"/>
      </w:pPr>
      <w:r>
        <w:rPr>
          <w:color w:val="1F1B16"/>
        </w:rPr>
        <w:t xml:space="preserve">Cần có: SLI, SLO, error budget, alert severity, người chịu trách nhiệm, escalation policy, incident channel, incident timeline, postmortem, corrective actions, status page.</w:t>
      </w:r>
    </w:p>
    <w:p>
      <w:pPr>
        <w:pBdr>
          <w:left w:val="single" w:color="C98A2C" w:sz="18" w:space="8"/>
        </w:pBdr>
        <w:spacing w:after="120" w:before="120"/>
        <w:ind w:left="360"/>
      </w:pPr>
      <w:r>
        <w:rPr>
          <w:i/>
          <w:iCs/>
          <w:color w:val="6B6156"/>
        </w:rPr>
        <w:t xml:space="preserve">Không nên cảnh báo mọi lỗi nhỏ vì sẽ gây alert fatigue.</w:t>
      </w:r>
    </w:p>
    <w:p>
      <w:pPr>
        <w:pStyle w:val="Heading2"/>
        <w:spacing w:after="120" w:before="260"/>
      </w:pPr>
      <w:r>
        <w:rPr>
          <w:b/>
          <w:bCs/>
          <w:color w:val="1F1B16"/>
        </w:rPr>
        <w:t xml:space="preserve">Alert routing</w:t>
      </w:r>
    </w:p>
    <w:p>
      <w:pPr>
        <w:spacing w:after="120"/>
      </w:pPr>
      <w:r>
        <w:rPr>
          <w:color w:val="1F1B16"/>
        </w:rPr>
        <w:t xml:space="preserve">Mỗi alert cần: severity, threshold, duration, owner, notification channel, runbook, auto-remediation, escalation, suppression rule.</w:t>
      </w:r>
    </w:p>
    <w:p>
      <w:pPr>
        <w:pStyle w:val="Heading2"/>
        <w:spacing w:after="120" w:before="260"/>
      </w:pPr>
      <w:r>
        <w:rPr>
          <w:b/>
          <w:bCs/>
          <w:color w:val="1F1B16"/>
        </w:rPr>
        <w:t xml:space="preserve">Dashboard cần có</w:t>
      </w:r>
    </w:p>
    <w:p>
      <w:pPr>
        <w:spacing w:after="120"/>
      </w:pPr>
      <w:r>
        <w:rPr>
          <w:color w:val="1F1B16"/>
        </w:rPr>
        <w:t xml:space="preserve">API overview · Authentication · Database · Redis · Queue · Storage · Media · Learning progress · SRS · Content health · Payments · AI usage · Security · Cost.</w:t>
      </w:r>
    </w:p>
    <w:p>
      <w:pPr>
        <w:pStyle w:val="Heading1"/>
        <w:pBdr>
          <w:bottom w:val="single" w:color="B02E1F" w:sz="8" w:space="6"/>
        </w:pBdr>
        <w:spacing w:after="160" w:before="320"/>
      </w:pPr>
      <w:r>
        <w:rPr>
          <w:b/>
          <w:bCs/>
          <w:color w:val="B02E1F"/>
        </w:rPr>
        <w:t xml:space="preserve">4. Business continuity</w:t>
      </w:r>
    </w:p>
    <w:p>
      <w:pPr>
        <w:spacing w:after="120"/>
      </w:pPr>
      <w:r>
        <w:rPr>
          <w:color w:val="1F1B16"/>
        </w:rPr>
        <w:t xml:space="preserve">Ngoài backup, cần phương án khi nhà cung cấp gặp sự cố: Supabase không truy cập được, CDN lỗi, email provider lỗi, AI provider lỗi, OAuth Google lỗi, DNS lỗi, region lỗi, tài khoản cloud bị khóa, secret bị lộ, nhân sự quản trị chính không sẵn sàng.</w:t>
      </w:r>
    </w:p>
    <w:p>
      <w:pPr>
        <w:spacing w:after="120"/>
      </w:pPr>
      <w:r>
        <w:rPr>
          <w:color w:val="1F1B16"/>
        </w:rPr>
        <w:t xml:space="preserve">Cần có: tài khoản khẩn cấp, break-glass access, danh sách liên hệ, runbook, bản sao cấu hình, khả năng chuyển provider quan trọng, kiểm thử disaster recovery.</w:t>
      </w:r>
    </w:p>
    <w:p>
      <w:pPr>
        <w:pStyle w:val="Heading1"/>
        <w:pBdr>
          <w:bottom w:val="single" w:color="B02E1F" w:sz="8" w:space="6"/>
        </w:pBdr>
        <w:spacing w:after="160" w:before="320"/>
      </w:pPr>
      <w:r>
        <w:rPr>
          <w:b/>
          <w:bCs/>
          <w:color w:val="B02E1F"/>
        </w:rPr>
        <w:t xml:space="preserve">5. Backup và Disaster Recovery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B02E1F" w:val="clear"/>
            <w:tcMar>
              <w:top w:type="dxa" w:w="80"/>
              <w:left w:type="dxa" w:w="120"/>
              <w:bottom w:type="dxa" w:w="80"/>
              <w:right w:type="dxa" w:w="120"/>
            </w:tcMar>
          </w:tcPr>
          <w:p>
            <w:r>
              <w:rPr>
                <w:b/>
                <w:bCs/>
                <w:color w:val="FFFFFF"/>
                <w:sz w:val="20"/>
                <w:szCs w:val="20"/>
              </w:rPr>
              <w:t xml:space="preserve">Thành phần</w:t>
            </w:r>
          </w:p>
        </w:tc>
        <w:tc>
          <w:tcPr>
            <w:tcW w:type="dxa" w:w="1870"/>
            <w:shd w:fill="B02E1F" w:val="clear"/>
            <w:tcMar>
              <w:top w:type="dxa" w:w="80"/>
              <w:left w:type="dxa" w:w="120"/>
              <w:bottom w:type="dxa" w:w="80"/>
              <w:right w:type="dxa" w:w="120"/>
            </w:tcMar>
          </w:tcPr>
          <w:p>
            <w:r>
              <w:rPr>
                <w:b/>
                <w:bCs/>
                <w:color w:val="FFFFFF"/>
                <w:sz w:val="20"/>
                <w:szCs w:val="20"/>
              </w:rPr>
              <w:t xml:space="preserve">RPO</w:t>
            </w:r>
          </w:p>
        </w:tc>
        <w:tc>
          <w:tcPr>
            <w:tcW w:type="dxa" w:w="1870"/>
            <w:shd w:fill="B02E1F" w:val="clear"/>
            <w:tcMar>
              <w:top w:type="dxa" w:w="80"/>
              <w:left w:type="dxa" w:w="120"/>
              <w:bottom w:type="dxa" w:w="80"/>
              <w:right w:type="dxa" w:w="120"/>
            </w:tcMar>
          </w:tcPr>
          <w:p>
            <w:r>
              <w:rPr>
                <w:b/>
                <w:bCs/>
                <w:color w:val="FFFFFF"/>
                <w:sz w:val="20"/>
                <w:szCs w:val="20"/>
              </w:rPr>
              <w:t xml:space="preserve">RTO</w:t>
            </w:r>
          </w:p>
        </w:tc>
        <w:tc>
          <w:tcPr>
            <w:tcW w:type="dxa" w:w="1870"/>
            <w:shd w:fill="B02E1F" w:val="clear"/>
            <w:tcMar>
              <w:top w:type="dxa" w:w="80"/>
              <w:left w:type="dxa" w:w="120"/>
              <w:bottom w:type="dxa" w:w="80"/>
              <w:right w:type="dxa" w:w="120"/>
            </w:tcMar>
          </w:tcPr>
          <w:p>
            <w:r>
              <w:rPr>
                <w:b/>
                <w:bCs/>
                <w:color w:val="FFFFFF"/>
                <w:sz w:val="20"/>
                <w:szCs w:val="20"/>
              </w:rPr>
              <w:t xml:space="preserve">Backup</w:t>
            </w:r>
          </w:p>
        </w:tc>
        <w:tc>
          <w:tcPr>
            <w:tcW w:type="dxa" w:w="1870"/>
            <w:shd w:fill="B02E1F" w:val="clear"/>
            <w:tcMar>
              <w:top w:type="dxa" w:w="80"/>
              <w:left w:type="dxa" w:w="120"/>
              <w:bottom w:type="dxa" w:w="80"/>
              <w:right w:type="dxa" w:w="120"/>
            </w:tcMar>
          </w:tcPr>
          <w:p>
            <w:r>
              <w:rPr>
                <w:b/>
                <w:bCs/>
                <w:color w:val="FFFFFF"/>
                <w:sz w:val="20"/>
                <w:szCs w:val="20"/>
              </w:rPr>
              <w:t xml:space="preserve">Restore test</w:t>
            </w:r>
          </w:p>
        </w:tc>
      </w:tr>
      <w:tr>
        <w:trPr>
          <w:tblHeader w:val="false"/>
        </w:trPr>
        <w:tc>
          <w:tcPr>
            <w:tcW w:type="dxa" w:w="1870"/>
            <w:shd w:fill="FFFFFF" w:val="clear"/>
            <w:tcMar>
              <w:top w:type="dxa" w:w="80"/>
              <w:left w:type="dxa" w:w="120"/>
              <w:bottom w:type="dxa" w:w="80"/>
              <w:right w:type="dxa" w:w="120"/>
            </w:tcMar>
          </w:tcPr>
          <w:p>
            <w:r>
              <w:rPr>
                <w:b w:val="false"/>
                <w:bCs w:val="false"/>
                <w:color w:val="1F1B16"/>
                <w:sz w:val="20"/>
                <w:szCs w:val="20"/>
              </w:rPr>
              <w:t xml:space="preserve">PostgreSQL</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TBD</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TBD</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PITR</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Hàng quý</w:t>
            </w:r>
          </w:p>
        </w:tc>
      </w:tr>
      <w:tr>
        <w:trPr>
          <w:tblHeader w:val="false"/>
        </w:trPr>
        <w:tc>
          <w:tcPr>
            <w:tcW w:type="dxa" w:w="1870"/>
            <w:shd w:fill="FBF6EF" w:val="clear"/>
            <w:tcMar>
              <w:top w:type="dxa" w:w="80"/>
              <w:left w:type="dxa" w:w="120"/>
              <w:bottom w:type="dxa" w:w="80"/>
              <w:right w:type="dxa" w:w="120"/>
            </w:tcMar>
          </w:tcPr>
          <w:p>
            <w:r>
              <w:rPr>
                <w:b w:val="false"/>
                <w:bCs w:val="false"/>
                <w:color w:val="1F1B16"/>
                <w:sz w:val="20"/>
                <w:szCs w:val="20"/>
              </w:rPr>
              <w:t xml:space="preserve">Object Storage</w:t>
            </w:r>
          </w:p>
        </w:tc>
        <w:tc>
          <w:tcPr>
            <w:tcW w:type="dxa" w:w="1870"/>
            <w:shd w:fill="FBF6EF" w:val="clear"/>
            <w:tcMar>
              <w:top w:type="dxa" w:w="80"/>
              <w:left w:type="dxa" w:w="120"/>
              <w:bottom w:type="dxa" w:w="80"/>
              <w:right w:type="dxa" w:w="120"/>
            </w:tcMar>
          </w:tcPr>
          <w:p>
            <w:r>
              <w:rPr>
                <w:b w:val="false"/>
                <w:bCs w:val="false"/>
                <w:color w:val="1F1B16"/>
                <w:sz w:val="20"/>
                <w:szCs w:val="20"/>
              </w:rPr>
              <w:t xml:space="preserve">TBD</w:t>
            </w:r>
          </w:p>
        </w:tc>
        <w:tc>
          <w:tcPr>
            <w:tcW w:type="dxa" w:w="1870"/>
            <w:shd w:fill="FBF6EF" w:val="clear"/>
            <w:tcMar>
              <w:top w:type="dxa" w:w="80"/>
              <w:left w:type="dxa" w:w="120"/>
              <w:bottom w:type="dxa" w:w="80"/>
              <w:right w:type="dxa" w:w="120"/>
            </w:tcMar>
          </w:tcPr>
          <w:p>
            <w:r>
              <w:rPr>
                <w:b w:val="false"/>
                <w:bCs w:val="false"/>
                <w:color w:val="1F1B16"/>
                <w:sz w:val="20"/>
                <w:szCs w:val="20"/>
              </w:rPr>
              <w:t xml:space="preserve">TBD</w:t>
            </w:r>
          </w:p>
        </w:tc>
        <w:tc>
          <w:tcPr>
            <w:tcW w:type="dxa" w:w="1870"/>
            <w:shd w:fill="FBF6EF" w:val="clear"/>
            <w:tcMar>
              <w:top w:type="dxa" w:w="80"/>
              <w:left w:type="dxa" w:w="120"/>
              <w:bottom w:type="dxa" w:w="80"/>
              <w:right w:type="dxa" w:w="120"/>
            </w:tcMar>
          </w:tcPr>
          <w:p>
            <w:r>
              <w:rPr>
                <w:b w:val="false"/>
                <w:bCs w:val="false"/>
                <w:color w:val="1F1B16"/>
                <w:sz w:val="20"/>
                <w:szCs w:val="20"/>
              </w:rPr>
              <w:t xml:space="preserve">Versioning/replication</w:t>
            </w:r>
          </w:p>
        </w:tc>
        <w:tc>
          <w:tcPr>
            <w:tcW w:type="dxa" w:w="1870"/>
            <w:shd w:fill="FBF6EF" w:val="clear"/>
            <w:tcMar>
              <w:top w:type="dxa" w:w="80"/>
              <w:left w:type="dxa" w:w="120"/>
              <w:bottom w:type="dxa" w:w="80"/>
              <w:right w:type="dxa" w:w="120"/>
            </w:tcMar>
          </w:tcPr>
          <w:p>
            <w:r>
              <w:rPr>
                <w:b w:val="false"/>
                <w:bCs w:val="false"/>
                <w:color w:val="1F1B16"/>
                <w:sz w:val="20"/>
                <w:szCs w:val="20"/>
              </w:rPr>
              <w:t xml:space="preserve">Hàng quý</w:t>
            </w:r>
          </w:p>
        </w:tc>
      </w:tr>
      <w:tr>
        <w:trPr>
          <w:tblHeader w:val="false"/>
        </w:trPr>
        <w:tc>
          <w:tcPr>
            <w:tcW w:type="dxa" w:w="1870"/>
            <w:shd w:fill="FFFFFF" w:val="clear"/>
            <w:tcMar>
              <w:top w:type="dxa" w:w="80"/>
              <w:left w:type="dxa" w:w="120"/>
              <w:bottom w:type="dxa" w:w="80"/>
              <w:right w:type="dxa" w:w="120"/>
            </w:tcMar>
          </w:tcPr>
          <w:p>
            <w:r>
              <w:rPr>
                <w:b w:val="false"/>
                <w:bCs w:val="false"/>
                <w:color w:val="1F1B16"/>
                <w:sz w:val="20"/>
                <w:szCs w:val="20"/>
              </w:rPr>
              <w:t xml:space="preserve">Redis</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Không phải nguồn chính</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TBD</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Tùy nhu cầu</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Failure test</w:t>
            </w:r>
          </w:p>
        </w:tc>
      </w:tr>
      <w:tr>
        <w:trPr>
          <w:tblHeader w:val="false"/>
        </w:trPr>
        <w:tc>
          <w:tcPr>
            <w:tcW w:type="dxa" w:w="1870"/>
            <w:shd w:fill="FBF6EF" w:val="clear"/>
            <w:tcMar>
              <w:top w:type="dxa" w:w="80"/>
              <w:left w:type="dxa" w:w="120"/>
              <w:bottom w:type="dxa" w:w="80"/>
              <w:right w:type="dxa" w:w="120"/>
            </w:tcMar>
          </w:tcPr>
          <w:p>
            <w:r>
              <w:rPr>
                <w:b w:val="false"/>
                <w:bCs w:val="false"/>
                <w:color w:val="1F1B16"/>
                <w:sz w:val="20"/>
                <w:szCs w:val="20"/>
              </w:rPr>
              <w:t xml:space="preserve">Secrets</w:t>
            </w:r>
          </w:p>
        </w:tc>
        <w:tc>
          <w:tcPr>
            <w:tcW w:type="dxa" w:w="1870"/>
            <w:shd w:fill="FBF6EF" w:val="clear"/>
            <w:tcMar>
              <w:top w:type="dxa" w:w="80"/>
              <w:left w:type="dxa" w:w="120"/>
              <w:bottom w:type="dxa" w:w="80"/>
              <w:right w:type="dxa" w:w="120"/>
            </w:tcMar>
          </w:tcPr>
          <w:p>
            <w:r>
              <w:rPr>
                <w:b w:val="false"/>
                <w:bCs w:val="false"/>
                <w:color w:val="1F1B16"/>
                <w:sz w:val="20"/>
                <w:szCs w:val="20"/>
              </w:rPr>
              <w:t xml:space="preserve">TBD</w:t>
            </w:r>
          </w:p>
        </w:tc>
        <w:tc>
          <w:tcPr>
            <w:tcW w:type="dxa" w:w="1870"/>
            <w:shd w:fill="FBF6EF" w:val="clear"/>
            <w:tcMar>
              <w:top w:type="dxa" w:w="80"/>
              <w:left w:type="dxa" w:w="120"/>
              <w:bottom w:type="dxa" w:w="80"/>
              <w:right w:type="dxa" w:w="120"/>
            </w:tcMar>
          </w:tcPr>
          <w:p>
            <w:r>
              <w:rPr>
                <w:b w:val="false"/>
                <w:bCs w:val="false"/>
                <w:color w:val="1F1B16"/>
                <w:sz w:val="20"/>
                <w:szCs w:val="20"/>
              </w:rPr>
              <w:t xml:space="preserve">TBD</w:t>
            </w:r>
          </w:p>
        </w:tc>
        <w:tc>
          <w:tcPr>
            <w:tcW w:type="dxa" w:w="1870"/>
            <w:shd w:fill="FBF6EF" w:val="clear"/>
            <w:tcMar>
              <w:top w:type="dxa" w:w="80"/>
              <w:left w:type="dxa" w:w="120"/>
              <w:bottom w:type="dxa" w:w="80"/>
              <w:right w:type="dxa" w:w="120"/>
            </w:tcMar>
          </w:tcPr>
          <w:p>
            <w:r>
              <w:rPr>
                <w:b w:val="false"/>
                <w:bCs w:val="false"/>
                <w:color w:val="1F1B16"/>
                <w:sz w:val="20"/>
                <w:szCs w:val="20"/>
              </w:rPr>
              <w:t xml:space="preserve">Secure export</w:t>
            </w:r>
          </w:p>
        </w:tc>
        <w:tc>
          <w:tcPr>
            <w:tcW w:type="dxa" w:w="1870"/>
            <w:shd w:fill="FBF6EF" w:val="clear"/>
            <w:tcMar>
              <w:top w:type="dxa" w:w="80"/>
              <w:left w:type="dxa" w:w="120"/>
              <w:bottom w:type="dxa" w:w="80"/>
              <w:right w:type="dxa" w:w="120"/>
            </w:tcMar>
          </w:tcPr>
          <w:p>
            <w:r>
              <w:rPr>
                <w:b w:val="false"/>
                <w:bCs w:val="false"/>
                <w:color w:val="1F1B16"/>
                <w:sz w:val="20"/>
                <w:szCs w:val="20"/>
              </w:rPr>
              <w:t xml:space="preserve">Định kỳ</w:t>
            </w:r>
          </w:p>
        </w:tc>
      </w:tr>
      <w:tr>
        <w:trPr>
          <w:tblHeader w:val="false"/>
        </w:trPr>
        <w:tc>
          <w:tcPr>
            <w:tcW w:type="dxa" w:w="1870"/>
            <w:shd w:fill="FFFFFF" w:val="clear"/>
            <w:tcMar>
              <w:top w:type="dxa" w:w="80"/>
              <w:left w:type="dxa" w:w="120"/>
              <w:bottom w:type="dxa" w:w="80"/>
              <w:right w:type="dxa" w:w="120"/>
            </w:tcMar>
          </w:tcPr>
          <w:p>
            <w:r>
              <w:rPr>
                <w:b w:val="false"/>
                <w:bCs w:val="false"/>
                <w:color w:val="1F1B16"/>
                <w:sz w:val="20"/>
                <w:szCs w:val="20"/>
              </w:rPr>
              <w:t xml:space="preserve">IaC state</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TBD</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TBD</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Versioned</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Định kỳ</w:t>
            </w:r>
          </w:p>
        </w:tc>
      </w:tr>
    </w:tbl>
    <w:p>
      <w:pPr>
        <w:spacing w:after="200"/>
      </w:pPr>
    </w:p>
    <w:p>
      <w:pPr>
        <w:spacing w:after="120"/>
      </w:pPr>
      <w:r>
        <w:rPr>
          <w:color w:val="1F1B16"/>
        </w:rPr>
        <w:t xml:space="preserve">Bổ sung: backup immutability · backup ngoài tài khoản/region chính · quyền restore và restore approval · restore audit · data reconciliation sau restore · DR communication plan · DR drill report.</w:t>
      </w:r>
    </w:p>
    <w:p>
      <w:pPr>
        <w:pStyle w:val="Heading1"/>
        <w:pBdr>
          <w:bottom w:val="single" w:color="B02E1F" w:sz="8" w:space="6"/>
        </w:pBdr>
        <w:spacing w:after="160" w:before="320"/>
      </w:pPr>
      <w:r>
        <w:rPr>
          <w:b/>
          <w:bCs/>
          <w:color w:val="B02E1F"/>
        </w:rPr>
        <w:t xml:space="preserve">6. Runbook cụ thể cần chuẩn bị</w:t>
      </w:r>
    </w:p>
    <w:p>
      <w:pPr>
        <w:spacing w:after="120"/>
      </w:pPr>
      <w:r>
        <w:rPr>
          <w:color w:val="1F1B16"/>
        </w:rPr>
        <w:t xml:space="preserve">API lỗi diện rộng · database đầy connection · slow query · Redis down · queue backlog · worker chết · storage lỗi · CDN lỗi · DNS lỗi · token bị lộ · tài khoản admin bị chiếm · payment mismatch · nội dung sai đã publish · người dùng mất tiến độ · AI tăng chi phí bất thường.</w:t>
      </w:r>
    </w:p>
    <w:p>
      <w:pPr>
        <w:pStyle w:val="Heading1"/>
        <w:pBdr>
          <w:bottom w:val="single" w:color="B02E1F" w:sz="8" w:space="6"/>
        </w:pBdr>
        <w:spacing w:after="160" w:before="320"/>
      </w:pPr>
      <w:r>
        <w:rPr>
          <w:b/>
          <w:bCs/>
          <w:color w:val="B02E1F"/>
        </w:rPr>
        <w:t xml:space="preserve">7. Vận hành (Admin &amp; Operations)</w:t>
      </w:r>
    </w:p>
    <w:p>
      <w:pPr>
        <w:spacing w:after="120"/>
      </w:pPr>
      <w:r>
        <w:rPr>
          <w:color w:val="1F1B16"/>
        </w:rPr>
        <w:t xml:space="preserve">Admin dashboard · quản lý người dùng · xem và hủy session · xem lỗi import · retry background job · quản lý nội dung · audit log · feature flags · system settings · maintenance mode · incident runbook · status page.</w:t>
      </w:r>
    </w:p>
    <w:p>
      <w:pPr>
        <w:pStyle w:val="Heading1"/>
        <w:pBdr>
          <w:bottom w:val="single" w:color="B02E1F" w:sz="8" w:space="6"/>
        </w:pBdr>
        <w:spacing w:after="160" w:before="320"/>
      </w:pPr>
      <w:r>
        <w:rPr>
          <w:b/>
          <w:bCs/>
          <w:color w:val="B02E1F"/>
        </w:rPr>
        <w:t xml:space="preserve">8. Hỗ trợ người dùng</w:t>
      </w:r>
    </w:p>
    <w:p>
      <w:pPr>
        <w:spacing w:after="120"/>
      </w:pPr>
      <w:r>
        <w:rPr>
          <w:color w:val="1F1B16"/>
        </w:rPr>
        <w:t xml:space="preserve">Feedback · bug report · help center · FAQ · contact form · ticket support · tra cứu lỗi theo trace ID · công cụ xem tiến độ người dùng khi được phép.</w:t>
      </w:r>
    </w:p>
    <w:p>
      <w:pPr>
        <w:pStyle w:val="Heading2"/>
        <w:spacing w:after="120" w:before="260"/>
      </w:pPr>
      <w:r>
        <w:rPr>
          <w:b/>
          <w:bCs/>
          <w:color w:val="1F1B16"/>
        </w:rPr>
        <w:t xml:space="preserve">Support operations chi tiết</w:t>
      </w:r>
    </w:p>
    <w:p>
      <w:pPr>
        <w:spacing w:after="120"/>
      </w:pPr>
      <w:r>
        <w:rPr>
          <w:color w:val="1F1B16"/>
        </w:rPr>
        <w:t xml:space="preserve">Ticket severity · SLA phản hồi và SLA xử lý · escalation · mẫu yêu cầu thông tin · không yêu cầu người dùng gửi mật khẩu · identity verification trước hỗ trợ tài khoản · quy trình điều chỉnh tiến độ · quy trình bồi hoàn · audit thao tác support.</w:t>
      </w:r>
    </w:p>
    <w:p>
      <w:pPr>
        <w:pStyle w:val="Heading1"/>
        <w:pBdr>
          <w:bottom w:val="single" w:color="B02E1F" w:sz="8" w:space="6"/>
        </w:pBdr>
        <w:spacing w:after="160" w:before="320"/>
      </w:pPr>
      <w:r>
        <w:rPr>
          <w:b/>
          <w:bCs/>
          <w:color w:val="B02E1F"/>
        </w:rPr>
        <w:t xml:space="preserve">9. Change management</w:t>
      </w:r>
    </w:p>
    <w:p>
      <w:pPr>
        <w:spacing w:after="120"/>
      </w:pPr>
      <w:r>
        <w:rPr>
          <w:color w:val="1F1B16"/>
        </w:rPr>
        <w:t xml:space="preserve">Change request · risk level · reviewer · maintenance window · communication · rollback plan · post-deployment verification · emergency change process · audit toàn bộ thay đổi.</w:t>
      </w:r>
    </w:p>
    <w:p>
      <w:pPr>
        <w:pStyle w:val="Heading1"/>
        <w:pBdr>
          <w:bottom w:val="single" w:color="B02E1F" w:sz="8" w:space="6"/>
        </w:pBdr>
        <w:spacing w:after="160" w:before="320"/>
      </w:pPr>
      <w:r>
        <w:rPr>
          <w:b/>
          <w:bCs/>
          <w:color w:val="B02E1F"/>
        </w:rPr>
        <w:t xml:space="preserve">10. Email, notification và deliverability</w:t>
      </w:r>
    </w:p>
    <w:p>
      <w:pPr>
        <w:spacing w:after="120"/>
      </w:pPr>
      <w:r>
        <w:rPr>
          <w:color w:val="1F1B16"/>
        </w:rPr>
        <w:t xml:space="preserve">Không chỉ gửi email được, cần bảo đảm email đến hộp thư: SPF, DKIM, DMARC, domain gửi riêng, bounce handling, complaint handling, suppression list, unsubscribe, retry, template versioning, preview email, tracking có sự đồng ý, giới hạn tần suất gửi.</w:t>
      </w:r>
    </w:p>
    <w:p>
      <w:pPr>
        <w:spacing w:after="120"/>
      </w:pPr>
      <w:r>
        <w:rPr>
          <w:color w:val="1F1B16"/>
        </w:rPr>
        <w:t xml:space="preserve">Thông báo học tập cần tránh gây phiền: quiet hours, tần suất tối đa, preference theo loại thông báo, nhắc ôn tập có thể tắt, không gửi nhiều thông báo trùng nhau.</w:t>
      </w:r>
    </w:p>
    <w:p>
      <w:pPr>
        <w:pStyle w:val="Heading1"/>
        <w:pBdr>
          <w:bottom w:val="single" w:color="B02E1F" w:sz="8" w:space="6"/>
        </w:pBdr>
        <w:spacing w:after="160" w:before="320"/>
      </w:pPr>
      <w:r>
        <w:rPr>
          <w:b/>
          <w:bCs/>
          <w:color w:val="B02E1F"/>
        </w:rPr>
        <w:t xml:space="preserve">11. Quản lý chi phí (FinOps)</w:t>
      </w:r>
    </w:p>
    <w:p>
      <w:pPr>
        <w:spacing w:after="120"/>
      </w:pPr>
      <w:r>
        <w:rPr>
          <w:color w:val="1F1B16"/>
        </w:rPr>
        <w:t xml:space="preserve">Chi phí trên mỗi người dùng hoạt động · chi phí trên mỗi giờ học · chi phí AI trên mỗi người dùng · chi phí audio/video bandwidth · chi phí lưu recording · chi phí log · budget alert · quota theo gói · storage lifecycle · log retention · CDN cache hit · báo cáo chi phí theo module.</w:t>
      </w:r>
    </w:p>
    <w:p>
      <w:pPr>
        <w:pBdr>
          <w:left w:val="single" w:color="C98A2C" w:sz="18" w:space="8"/>
        </w:pBdr>
        <w:spacing w:after="120" w:before="120"/>
        <w:ind w:left="360"/>
      </w:pPr>
      <w:r>
        <w:rPr>
          <w:i/>
          <w:iCs/>
          <w:color w:val="6B6156"/>
        </w:rPr>
        <w:t xml:space="preserve">Không kiểm soát phần này có thể khiến hệ thống kỹ thuật chạy tốt nhưng không thể duy trì tài chính.</w:t>
      </w:r>
    </w:p>
    <w:p>
      <w:pPr>
        <w:pStyle w:val="Heading1"/>
        <w:pBdr>
          <w:bottom w:val="single" w:color="B02E1F" w:sz="8" w:space="6"/>
        </w:pBdr>
        <w:spacing w:after="160" w:before="320"/>
      </w:pPr>
      <w:r>
        <w:rPr>
          <w:b/>
          <w:bCs/>
          <w:color w:val="B02E1F"/>
        </w:rPr>
        <w:t xml:space="preserve">12. Quy trình vận hành nội bộ và phân quyền</w:t>
      </w:r>
    </w:p>
    <w:p>
      <w:pPr>
        <w:spacing w:after="120"/>
      </w:pPr>
      <w:r>
        <w:rPr>
          <w:color w:val="1F1B16"/>
        </w:rPr>
        <w:t xml:space="preserve">Cần xác định rõ: ai duyệt nội dung, ai xuất bản, ai xử lý tài khoản, ai xử lý lỗi thanh toán, ai phản hồi ticket, ai trực sự cố, ai phê duyệt migration, ai được truy cập production, ai được xem dữ liệu ghi âm, ai có quyền phục hồi backup.</w:t>
      </w:r>
    </w:p>
    <w:p>
      <w:pPr>
        <w:spacing w:after="120"/>
      </w:pPr>
      <w:r>
        <w:rPr>
          <w:color w:val="1F1B16"/>
        </w:rPr>
        <w:t xml:space="preserve">Áp dụng nguyên tắc: least privilege · separation of duties · không dùng chung tài khoản admin · có thời hạn cho quyền tạm thời · audit toàn bộ hành động nhạy cảm.</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2026-07-27T04:36:47.456Z</dcterms:created>
  <dcterms:modified xsi:type="dcterms:W3CDTF">2026-07-27T04:36:47.456Z</dcterms:modified>
</cp:coreProperties>
</file>

<file path=docProps/custom.xml><?xml version="1.0" encoding="utf-8"?>
<Properties xmlns="http://schemas.openxmlformats.org/officeDocument/2006/custom-properties" xmlns:vt="http://schemas.openxmlformats.org/officeDocument/2006/docPropsVTypes"/>
</file>