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Code Review Checklist –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Specification / Design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“Nhập lại” functionality is present in the code but not described in the specification.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Define two numbers a and b as double in the code but define as integer in the specification.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2. Initialization and Declarations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All local and global variables initialized before use.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Variables and class members of the correct type and appropriate mode.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Variables declared in the proper scope.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There are a few redundant statements.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Variable names are spelled correctly and consistently.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Primitive data types are not set to null or empty.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3. Method Calls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Parameters presented in the correct order.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Parameters of the proper type for the method being called.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4. Output Format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No spelling or grammatical errors in displayed output.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The output formatted correctly in terms of line stepping and spacing.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5. Computation, Comparisons and Assignments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All statements end with a semicolon.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The proper relational and logical operators are used.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The error condition is not really reasonable when leaving one of the two numbers a or b blank.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There is a case where the calculation will give wrong results.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6. Exceptions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Not all relevant exceptions caught (when leaving one of the two numbers a or b blank)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7. Flow of Control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Nested if statements don't have “dangling else” problems.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Open-close parentheses and brace pairs properly situated and matched.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Logical expressions evaluate to the correct true and false value.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7154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3B314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B314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97154A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DZrVzV5wykHfSaqC+o+9XkZOTw==">CgMxLjA4AHIhMXU4dG1BcVRFTHhmc0s2dGt0eWEwYTg5SEtUdjhSMGlQ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2024-01-27T11:51:00Z</dcterms:created>
  <dc:creator>Nguyễn Thị Kim Huệ</dc:creator>
</cp:coreProperties>
</file>