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NNFX CRYPTO TREND SYSTEM</w:t>
      </w:r>
    </w:p>
    <w:p>
      <w:pPr>
        <w:jc w:val="center"/>
      </w:pPr>
      <w:r>
        <w:t>Rule-Based Daily Timeframe Trend Following System</w:t>
      </w:r>
    </w:p>
    <w:p>
      <w:pPr>
        <w:pStyle w:val="Heading2"/>
      </w:pPr>
      <w:r>
        <w:t>1. SYSTEM OVERVIEW</w:t>
      </w:r>
    </w:p>
    <w:p>
      <w:r>
        <w:t>Framework based on No Nonsense Forex (NNFX) principles.</w:t>
        <w:br/>
        <w:br/>
        <w:t>Core Philosophy:</w:t>
        <w:br/>
        <w:t>- Fully indicator-based</w:t>
        <w:br/>
        <w:t>- Daily timeframe only</w:t>
        <w:br/>
        <w:t>- Trend-following approach</w:t>
        <w:br/>
        <w:t>- Volatility expansion participation</w:t>
        <w:br/>
        <w:t>- Strict risk management</w:t>
        <w:br/>
        <w:t>- Eliminate discretionary decision-making</w:t>
      </w:r>
    </w:p>
    <w:p>
      <w:pPr>
        <w:pStyle w:val="Heading2"/>
      </w:pPr>
      <w:r>
        <w:t>2. SYSTEM COMPONENTS</w:t>
      </w:r>
    </w:p>
    <w:p>
      <w:r>
        <w:t>The system consists of:</w:t>
        <w:br/>
        <w:br/>
        <w:t>1. ATR Indicator</w:t>
        <w:br/>
        <w:t>2. Baseline Indicator</w:t>
        <w:br/>
        <w:t>3. Confirmation Indicator 1</w:t>
        <w:br/>
        <w:t>4. Confirmation Indicator 2</w:t>
        <w:br/>
        <w:t>5. Volume Indicator</w:t>
        <w:br/>
        <w:t>6. Exit Indicator</w:t>
      </w:r>
    </w:p>
    <w:p>
      <w:pPr>
        <w:pStyle w:val="Heading2"/>
      </w:pPr>
      <w:r>
        <w:t>3. ATR INDICATOR</w:t>
      </w:r>
    </w:p>
    <w:p>
      <w:r>
        <w:t>Indicator:</w:t>
        <w:br/>
        <w:t>- ATR(14)</w:t>
        <w:br/>
        <w:br/>
        <w:t>Purpose:</w:t>
        <w:br/>
        <w:t>- Stoploss calculation</w:t>
        <w:br/>
        <w:t>- Position sizing</w:t>
        <w:br/>
        <w:t>- Volatility measurement</w:t>
        <w:br/>
        <w:br/>
        <w:t>Rules:</w:t>
        <w:br/>
        <w:t>- Stoploss = 1.5 × ATR(14)</w:t>
        <w:br/>
        <w:t>- TP1 = 1 × ATR(14)</w:t>
        <w:br/>
        <w:t>- Risk per trade = max 1% NAV</w:t>
      </w:r>
    </w:p>
    <w:p>
      <w:pPr>
        <w:pStyle w:val="Heading2"/>
      </w:pPr>
      <w:r>
        <w:t>4. BASELINE INDICATOR</w:t>
      </w:r>
    </w:p>
    <w:p>
      <w:r>
        <w:t>Indicator:</w:t>
        <w:br/>
        <w:t>- KAMA50 (Kaufman Adaptive Moving Average)</w:t>
        <w:br/>
        <w:br/>
        <w:t>Purpose:</w:t>
        <w:br/>
        <w:t>- Define trend direction</w:t>
        <w:br/>
        <w:t>- Eliminate counter-trend trades</w:t>
        <w:br/>
        <w:br/>
        <w:t>Long condition:</w:t>
        <w:br/>
        <w:t>- Close &gt; KAMA50</w:t>
        <w:br/>
        <w:br/>
        <w:t>Short condition:</w:t>
        <w:br/>
        <w:t>- Close &lt; KAMA50</w:t>
      </w:r>
    </w:p>
    <w:p>
      <w:pPr>
        <w:pStyle w:val="Heading2"/>
      </w:pPr>
      <w:r>
        <w:t>5. BRIDGE TOO FAR RULE</w:t>
      </w:r>
    </w:p>
    <w:p>
      <w:r>
        <w:t>Do not enter trades when:</w:t>
        <w:br/>
        <w:br/>
        <w:t>Distance between price and KAMA50 &gt; 1 ATR(14)</w:t>
        <w:br/>
        <w:br/>
        <w:t>Purpose:</w:t>
        <w:br/>
        <w:t>- Avoid FOMO entries</w:t>
        <w:br/>
        <w:t>- Avoid chasing exhaustion moves</w:t>
        <w:br/>
        <w:t>- Improve risk/reward quality</w:t>
      </w:r>
    </w:p>
    <w:p>
      <w:pPr>
        <w:pStyle w:val="Heading2"/>
      </w:pPr>
      <w:r>
        <w:t>6. CONFIRMATION INDICATOR 1</w:t>
      </w:r>
    </w:p>
    <w:p>
      <w:r>
        <w:t>Indicator:</w:t>
        <w:br/>
        <w:t>- SSL Hybrid (Length 10)</w:t>
        <w:br/>
        <w:br/>
        <w:t>Purpose:</w:t>
        <w:br/>
        <w:t>- Trend continuation trigger</w:t>
        <w:br/>
        <w:t>- Entry confirmation</w:t>
        <w:br/>
        <w:br/>
        <w:t>Long condition:</w:t>
        <w:br/>
        <w:t>- SSL bullish</w:t>
        <w:br/>
        <w:br/>
        <w:t>Short condition:</w:t>
        <w:br/>
        <w:t>- SSL bearish</w:t>
      </w:r>
    </w:p>
    <w:p>
      <w:pPr>
        <w:pStyle w:val="Heading2"/>
      </w:pPr>
      <w:r>
        <w:t>7. CONFIRMATION INDICATOR 2</w:t>
      </w:r>
    </w:p>
    <w:p>
      <w:r>
        <w:t>Indicator:</w:t>
        <w:br/>
        <w:t>- TDFI (Trend Direction Force Index)</w:t>
        <w:br/>
        <w:br/>
        <w:t>Purpose:</w:t>
        <w:br/>
        <w:t>- Trend strength filter</w:t>
        <w:br/>
        <w:t>- Avoid weak momentum environments</w:t>
        <w:br/>
        <w:br/>
        <w:t>Long condition:</w:t>
        <w:br/>
        <w:t>- TDFI &gt; 0.05</w:t>
        <w:br/>
        <w:br/>
        <w:t>Short condition:</w:t>
        <w:br/>
        <w:t>- TDFI &lt; -0.05</w:t>
      </w:r>
    </w:p>
    <w:p>
      <w:pPr>
        <w:pStyle w:val="Heading2"/>
      </w:pPr>
      <w:r>
        <w:t>8. VOLUME INDICATOR</w:t>
      </w:r>
    </w:p>
    <w:p>
      <w:r>
        <w:t>Indicator:</w:t>
        <w:br/>
        <w:t>- Better Volume</w:t>
        <w:br/>
        <w:br/>
        <w:t>Purpose:</w:t>
        <w:br/>
        <w:t>- Confirm market participation</w:t>
        <w:br/>
        <w:t>- Avoid dead markets</w:t>
        <w:br/>
        <w:br/>
        <w:t>Trade only when:</w:t>
        <w:br/>
        <w:t>- Better Volume shows green</w:t>
        <w:br/>
        <w:t>- Or climax volume appears</w:t>
      </w:r>
    </w:p>
    <w:p>
      <w:pPr>
        <w:pStyle w:val="Heading2"/>
      </w:pPr>
      <w:r>
        <w:t>9. EXIT INDICATOR</w:t>
      </w:r>
    </w:p>
    <w:p>
      <w:r>
        <w:t>Indicator:</w:t>
        <w:br/>
        <w:t>- Hull Suite</w:t>
        <w:br/>
        <w:br/>
        <w:t>Purpose:</w:t>
        <w:br/>
        <w:t>- Exit trend reversals</w:t>
        <w:br/>
        <w:t>- Maximize trend runners</w:t>
        <w:br/>
        <w:br/>
        <w:t>Exit Long:</w:t>
        <w:br/>
        <w:t>- Hull turns bearish</w:t>
        <w:br/>
        <w:br/>
        <w:t>Exit Short:</w:t>
        <w:br/>
        <w:t>- Hull turns bullish</w:t>
      </w:r>
    </w:p>
    <w:p>
      <w:pPr>
        <w:pStyle w:val="Heading2"/>
      </w:pPr>
      <w:r>
        <w:t>10. LONG ENTRY RULES</w:t>
      </w:r>
    </w:p>
    <w:p>
      <w:r>
        <w:t>Enter long only when ALL conditions are met:</w:t>
        <w:br/>
        <w:br/>
        <w:t>1. Close &gt; KAMA50</w:t>
        <w:br/>
        <w:t>2. Distance from price to KAMA50 &lt;= 1 ATR</w:t>
        <w:br/>
        <w:t>3. SSL Hybrid bullish</w:t>
        <w:br/>
        <w:t>4. TDFI &gt; 0.05</w:t>
        <w:br/>
        <w:t>5. Better Volume confirms participation</w:t>
        <w:br/>
        <w:br/>
        <w:t>Execution:</w:t>
        <w:br/>
        <w:t>- Enter at next Daily candle open</w:t>
      </w:r>
    </w:p>
    <w:p>
      <w:pPr>
        <w:pStyle w:val="Heading2"/>
      </w:pPr>
      <w:r>
        <w:t>11. SHORT ENTRY RULES</w:t>
      </w:r>
    </w:p>
    <w:p>
      <w:r>
        <w:t>Enter short only when ALL conditions are met:</w:t>
        <w:br/>
        <w:br/>
        <w:t>1. Close &lt; KAMA50</w:t>
        <w:br/>
        <w:t>2. Distance from price to KAMA50 &lt;= 1 ATR</w:t>
        <w:br/>
        <w:t>3. SSL Hybrid bearish</w:t>
        <w:br/>
        <w:t>4. TDFI &lt; -0.05</w:t>
        <w:br/>
        <w:t>5. Better Volume confirms participation</w:t>
        <w:br/>
        <w:br/>
        <w:t>Execution:</w:t>
        <w:br/>
        <w:t>- Enter at next Daily candle open</w:t>
      </w:r>
    </w:p>
    <w:p>
      <w:pPr>
        <w:pStyle w:val="Heading2"/>
      </w:pPr>
      <w:r>
        <w:t>12. STOPLOSS RULES</w:t>
      </w:r>
    </w:p>
    <w:p>
      <w:r>
        <w:t>Stoploss:</w:t>
        <w:br/>
        <w:t>- 1.5 × ATR(14)</w:t>
        <w:br/>
        <w:br/>
        <w:t>Purpose:</w:t>
        <w:br/>
        <w:t>- Volatility-adjusted protection</w:t>
        <w:br/>
        <w:t>- Avoid random stop hunts</w:t>
      </w:r>
    </w:p>
    <w:p>
      <w:pPr>
        <w:pStyle w:val="Heading2"/>
      </w:pPr>
      <w:r>
        <w:t>13. TAKE PROFIT &amp; TRADE MANAGEMENT</w:t>
      </w:r>
    </w:p>
    <w:p>
      <w:r>
        <w:t>TP1:</w:t>
        <w:br/>
        <w:t>- 1 × ATR(14)</w:t>
        <w:br/>
        <w:t>- Close 50% position</w:t>
        <w:br/>
        <w:t>- Move stoploss to breakeven</w:t>
        <w:br/>
        <w:br/>
        <w:t>Remaining position:</w:t>
        <w:br/>
        <w:t>- Trail using Hull Suite</w:t>
        <w:br/>
        <w:t>- Or SSL reversal</w:t>
      </w:r>
    </w:p>
    <w:p>
      <w:pPr>
        <w:pStyle w:val="Heading2"/>
      </w:pPr>
      <w:r>
        <w:t>14. ATR EXPANSION FILTER</w:t>
      </w:r>
    </w:p>
    <w:p>
      <w:r>
        <w:t>Trade only when:</w:t>
        <w:br/>
        <w:br/>
        <w:t>ATR(14) &gt; ATR(14) SMA20</w:t>
        <w:br/>
        <w:br/>
        <w:t>Optional stronger filter:</w:t>
        <w:br/>
        <w:t>ATR(14) &gt; 1.2 × ATR SMA20</w:t>
        <w:br/>
        <w:br/>
        <w:t>Purpose:</w:t>
        <w:br/>
        <w:t>- Trade only during volatility expansion</w:t>
        <w:br/>
        <w:t>- Avoid chop and low-momentum markets</w:t>
      </w:r>
    </w:p>
    <w:p>
      <w:pPr>
        <w:pStyle w:val="Heading2"/>
      </w:pPr>
      <w:r>
        <w:t>15. RELATIVE STRENGTH FILTER</w:t>
      </w:r>
    </w:p>
    <w:p>
      <w:r>
        <w:t>Trade altcoins only when:</w:t>
        <w:br/>
        <w:br/>
        <w:t>Altcoin 14-day return &gt; BTC 14-day return</w:t>
        <w:br/>
        <w:br/>
        <w:t>Purpose:</w:t>
        <w:br/>
        <w:t>- Focus on strongest momentum assets</w:t>
        <w:br/>
        <w:t>- Maximize trend persistence</w:t>
      </w:r>
    </w:p>
    <w:p>
      <w:pPr>
        <w:pStyle w:val="Heading2"/>
      </w:pPr>
      <w:r>
        <w:t>16. RECOMMENDED COINS</w:t>
      </w:r>
    </w:p>
    <w:p>
      <w:r>
        <w:t>Elite Tier:</w:t>
        <w:br/>
        <w:t>- BTC</w:t>
        <w:br/>
        <w:t>- SOL</w:t>
        <w:br/>
        <w:t>- SUI</w:t>
        <w:br/>
        <w:br/>
        <w:t>Strong Tier:</w:t>
        <w:br/>
        <w:t>- ETH</w:t>
        <w:br/>
        <w:t>- INJ</w:t>
      </w:r>
    </w:p>
    <w:p>
      <w:pPr>
        <w:pStyle w:val="Heading2"/>
      </w:pPr>
      <w:r>
        <w:t>17. LEVERAGE GUIDELINES</w:t>
      </w:r>
    </w:p>
    <w:p>
      <w:r>
        <w:t>BTC:</w:t>
        <w:br/>
        <w:t>- 1.5x–2x</w:t>
        <w:br/>
        <w:br/>
        <w:t>ETH:</w:t>
        <w:br/>
        <w:t>- 1.5x–2x</w:t>
        <w:br/>
        <w:br/>
        <w:t>SOL:</w:t>
        <w:br/>
        <w:t>- 1x–1.5x</w:t>
        <w:br/>
        <w:br/>
        <w:t>SUI / INJ:</w:t>
        <w:br/>
        <w:t>- 1x</w:t>
        <w:br/>
        <w:br/>
        <w:t>Use isolated margin only.</w:t>
        <w:br/>
        <w:t>Leverage should improve capital efficiency, not increase risk.</w:t>
      </w:r>
    </w:p>
    <w:p>
      <w:pPr>
        <w:pStyle w:val="Heading2"/>
      </w:pPr>
      <w:r>
        <w:t>18. NO-TRADE CONDITIONS</w:t>
      </w:r>
    </w:p>
    <w:p>
      <w:r>
        <w:t>- ATR below ATR SMA20</w:t>
        <w:br/>
        <w:t>- Better Volume weak or dead</w:t>
        <w:br/>
        <w:t>- Price more than 1 ATR away from KAMA50</w:t>
        <w:br/>
        <w:t>- Extreme BTC volatility spikes</w:t>
        <w:br/>
        <w:t>- Major macro uncertainty</w:t>
      </w:r>
    </w:p>
    <w:p>
      <w:pPr>
        <w:pStyle w:val="Heading2"/>
      </w:pPr>
      <w:r>
        <w:t>19. KPI TARGETS</w:t>
      </w:r>
    </w:p>
    <w:p>
      <w:r>
        <w:t>- Winrate: 40%–55%</w:t>
        <w:br/>
        <w:t>- Average winner: 3R–6R</w:t>
        <w:br/>
        <w:t>- Average loser: -1R</w:t>
        <w:br/>
        <w:t>- Profit factor &gt; 2</w:t>
        <w:br/>
        <w:t>- Low trade frequency</w:t>
        <w:br/>
        <w:t>- Reduced emotional stress</w:t>
      </w:r>
    </w:p>
    <w:p>
      <w:pPr>
        <w:pStyle w:val="Heading2"/>
      </w:pPr>
      <w:r>
        <w:t>20. FINAL PRINCIPLE</w:t>
      </w:r>
    </w:p>
    <w:p>
      <w:r>
        <w:t>The objective of the NNFX Crypto System is:</w:t>
        <w:br/>
        <w:t>- systematic trend participation</w:t>
        <w:br/>
        <w:t>- volatility expansion capture</w:t>
        <w:br/>
        <w:t>- disciplined risk management</w:t>
        <w:br/>
        <w:t>- long-term asymmetric compounding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