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NXT Trading System v3.0</w:t>
      </w:r>
    </w:p>
    <w:p>
      <w:pPr>
        <w:spacing w:after="240"/>
      </w:pPr>
      <w:r>
        <w:rPr>
          <w:rFonts w:ascii="Arial" w:hAnsi="Arial"/>
          <w:color w:val="4B5563"/>
          <w:sz w:val="24"/>
        </w:rPr>
        <w:t>Bản cập nhật rule: chốt toàn bộ vị thế tại 2.5 ATR</w:t>
      </w:r>
    </w:p>
    <w:tbl>
      <w:tblPr>
        <w:tblStyle w:val="TableGrid"/>
        <w:tblW w:type="auto" w:w="0"/>
        <w:jc w:val="left"/>
        <w:tblLayout w:type="fixed"/>
        <w:tblLook w:firstColumn="1" w:firstRow="1" w:lastColumn="0" w:lastRow="0" w:noHBand="0" w:noVBand="1" w:val="04A0"/>
      </w:tblPr>
      <w:tblGrid>
        <w:gridCol w:w="4986"/>
        <w:gridCol w:w="4986"/>
      </w:tblGrid>
      <w:tr>
        <w:tc>
          <w:tcPr>
            <w:tcW w:type="dxa" w:w="2381"/>
            <w:vAlign w:val="center"/>
            <w:shd w:fill="EAF0F6"/>
          </w:tcPr>
          <w:p>
            <w:pPr>
              <w:spacing w:after="0"/>
              <w:jc w:val="left"/>
            </w:pPr>
            <w:r>
              <w:rPr>
                <w:rFonts w:ascii="Arial" w:hAnsi="Arial"/>
                <w:b/>
                <w:color w:val="1F2937"/>
                <w:sz w:val="19"/>
              </w:rPr>
            </w:r>
            <w:r>
              <w:rPr>
                <w:rFonts w:ascii="Arial" w:hAnsi="Arial"/>
                <w:b/>
                <w:color w:val="1F2937"/>
                <w:sz w:val="19"/>
              </w:rPr>
              <w:t>Hạng mục</w:t>
            </w:r>
          </w:p>
        </w:tc>
        <w:tc>
          <w:tcPr>
            <w:tcW w:type="dxa" w:w="6690"/>
            <w:vAlign w:val="center"/>
            <w:shd w:fill="EAF0F6"/>
          </w:tcPr>
          <w:p>
            <w:pPr>
              <w:spacing w:after="0"/>
              <w:jc w:val="left"/>
            </w:pPr>
            <w:r>
              <w:rPr>
                <w:rFonts w:ascii="Arial" w:hAnsi="Arial"/>
                <w:b/>
                <w:color w:val="1F2937"/>
                <w:sz w:val="19"/>
              </w:rPr>
            </w:r>
            <w:r>
              <w:rPr>
                <w:rFonts w:ascii="Arial" w:hAnsi="Arial"/>
                <w:b/>
                <w:color w:val="1F2937"/>
                <w:sz w:val="19"/>
              </w:rPr>
              <w:t>Giá trị</w:t>
            </w:r>
          </w:p>
        </w:tc>
      </w:tr>
      <w:tr>
        <w:tc>
          <w:tcPr>
            <w:tcW w:type="dxa" w:w="2381"/>
            <w:vAlign w:val="center"/>
          </w:tcPr>
          <w:p>
            <w:pPr>
              <w:spacing w:after="0"/>
              <w:jc w:val="left"/>
            </w:pPr>
            <w:r>
              <w:rPr>
                <w:rFonts w:ascii="Arial" w:hAnsi="Arial"/>
                <w:sz w:val="19"/>
              </w:rPr>
            </w:r>
            <w:r>
              <w:rPr>
                <w:rFonts w:ascii="Arial" w:hAnsi="Arial"/>
                <w:b w:val="0"/>
                <w:sz w:val="19"/>
              </w:rPr>
              <w:t>Version</w:t>
            </w:r>
          </w:p>
        </w:tc>
        <w:tc>
          <w:tcPr>
            <w:tcW w:type="dxa" w:w="6690"/>
            <w:vAlign w:val="center"/>
          </w:tcPr>
          <w:p>
            <w:pPr>
              <w:spacing w:after="0"/>
              <w:jc w:val="left"/>
            </w:pPr>
            <w:r>
              <w:rPr>
                <w:rFonts w:ascii="Arial" w:hAnsi="Arial"/>
                <w:sz w:val="19"/>
              </w:rPr>
            </w:r>
            <w:r>
              <w:rPr>
                <w:rFonts w:ascii="Arial" w:hAnsi="Arial"/>
                <w:b w:val="0"/>
                <w:sz w:val="19"/>
              </w:rPr>
              <w:t>NXT v3.0</w:t>
            </w:r>
          </w:p>
        </w:tc>
      </w:tr>
      <w:tr>
        <w:tc>
          <w:tcPr>
            <w:tcW w:type="dxa" w:w="2381"/>
            <w:vAlign w:val="center"/>
          </w:tcPr>
          <w:p>
            <w:pPr>
              <w:spacing w:after="0"/>
              <w:jc w:val="left"/>
            </w:pPr>
            <w:r>
              <w:rPr>
                <w:rFonts w:ascii="Arial" w:hAnsi="Arial"/>
                <w:sz w:val="19"/>
              </w:rPr>
            </w:r>
            <w:r>
              <w:rPr>
                <w:rFonts w:ascii="Arial" w:hAnsi="Arial"/>
                <w:b w:val="0"/>
                <w:sz w:val="19"/>
              </w:rPr>
              <w:t>Thay đổi chính</w:t>
            </w:r>
          </w:p>
        </w:tc>
        <w:tc>
          <w:tcPr>
            <w:tcW w:type="dxa" w:w="6690"/>
            <w:vAlign w:val="center"/>
          </w:tcPr>
          <w:p>
            <w:pPr>
              <w:spacing w:after="0"/>
              <w:jc w:val="left"/>
            </w:pPr>
            <w:r>
              <w:rPr>
                <w:rFonts w:ascii="Arial" w:hAnsi="Arial"/>
                <w:sz w:val="19"/>
              </w:rPr>
            </w:r>
            <w:r>
              <w:rPr>
                <w:rFonts w:ascii="Arial" w:hAnsi="Arial"/>
                <w:b w:val="0"/>
                <w:sz w:val="19"/>
              </w:rPr>
              <w:t>Giữ entry/filter của v2.3; exit đổi sang chốt toàn bộ tại 2.5 ATR.</w:t>
            </w:r>
          </w:p>
        </w:tc>
      </w:tr>
      <w:tr>
        <w:tc>
          <w:tcPr>
            <w:tcW w:type="dxa" w:w="2381"/>
            <w:vAlign w:val="center"/>
          </w:tcPr>
          <w:p>
            <w:pPr>
              <w:spacing w:after="0"/>
              <w:jc w:val="left"/>
            </w:pPr>
            <w:r>
              <w:rPr>
                <w:rFonts w:ascii="Arial" w:hAnsi="Arial"/>
                <w:sz w:val="19"/>
              </w:rPr>
            </w:r>
            <w:r>
              <w:rPr>
                <w:rFonts w:ascii="Arial" w:hAnsi="Arial"/>
                <w:b w:val="0"/>
                <w:sz w:val="19"/>
              </w:rPr>
              <w:t>Dữ liệu backtest</w:t>
            </w:r>
          </w:p>
        </w:tc>
        <w:tc>
          <w:tcPr>
            <w:tcW w:type="dxa" w:w="6690"/>
            <w:vAlign w:val="center"/>
          </w:tcPr>
          <w:p>
            <w:pPr>
              <w:spacing w:after="0"/>
              <w:jc w:val="left"/>
            </w:pPr>
            <w:r>
              <w:rPr>
                <w:rFonts w:ascii="Arial" w:hAnsi="Arial"/>
                <w:sz w:val="19"/>
              </w:rPr>
            </w:r>
            <w:r>
              <w:rPr>
                <w:rFonts w:ascii="Arial" w:hAnsi="Arial"/>
                <w:b w:val="0"/>
                <w:sz w:val="19"/>
              </w:rPr>
              <w:t>2020-05-17 đến 2026-05-16</w:t>
            </w:r>
          </w:p>
        </w:tc>
      </w:tr>
      <w:tr>
        <w:tc>
          <w:tcPr>
            <w:tcW w:type="dxa" w:w="2381"/>
            <w:vAlign w:val="center"/>
          </w:tcPr>
          <w:p>
            <w:pPr>
              <w:spacing w:after="0"/>
              <w:jc w:val="left"/>
            </w:pPr>
            <w:r>
              <w:rPr>
                <w:rFonts w:ascii="Arial" w:hAnsi="Arial"/>
                <w:sz w:val="19"/>
              </w:rPr>
            </w:r>
            <w:r>
              <w:rPr>
                <w:rFonts w:ascii="Arial" w:hAnsi="Arial"/>
                <w:b w:val="0"/>
                <w:sz w:val="19"/>
              </w:rPr>
              <w:t>Danh mục</w:t>
            </w:r>
          </w:p>
        </w:tc>
        <w:tc>
          <w:tcPr>
            <w:tcW w:type="dxa" w:w="6690"/>
            <w:vAlign w:val="center"/>
          </w:tcPr>
          <w:p>
            <w:pPr>
              <w:spacing w:after="0"/>
              <w:jc w:val="left"/>
            </w:pPr>
            <w:r>
              <w:rPr>
                <w:rFonts w:ascii="Arial" w:hAnsi="Arial"/>
                <w:sz w:val="19"/>
              </w:rPr>
            </w:r>
            <w:r>
              <w:rPr>
                <w:rFonts w:ascii="Arial" w:hAnsi="Arial"/>
                <w:b w:val="0"/>
                <w:sz w:val="19"/>
              </w:rPr>
              <w:t>BTCUSDT, SOLUSDT, SUIUSDT</w:t>
            </w:r>
          </w:p>
        </w:tc>
      </w:tr>
      <w:tr>
        <w:tc>
          <w:tcPr>
            <w:tcW w:type="dxa" w:w="2381"/>
            <w:vAlign w:val="center"/>
          </w:tcPr>
          <w:p>
            <w:pPr>
              <w:spacing w:after="0"/>
              <w:jc w:val="left"/>
            </w:pPr>
            <w:r>
              <w:rPr>
                <w:rFonts w:ascii="Arial" w:hAnsi="Arial"/>
                <w:sz w:val="19"/>
              </w:rPr>
            </w:r>
            <w:r>
              <w:rPr>
                <w:rFonts w:ascii="Arial" w:hAnsi="Arial"/>
                <w:b w:val="0"/>
                <w:sz w:val="19"/>
              </w:rPr>
              <w:t>Nguồn dữ liệu</w:t>
            </w:r>
          </w:p>
        </w:tc>
        <w:tc>
          <w:tcPr>
            <w:tcW w:type="dxa" w:w="6690"/>
            <w:vAlign w:val="center"/>
          </w:tcPr>
          <w:p>
            <w:pPr>
              <w:spacing w:after="0"/>
              <w:jc w:val="left"/>
            </w:pPr>
            <w:r>
              <w:rPr>
                <w:rFonts w:ascii="Arial" w:hAnsi="Arial"/>
                <w:sz w:val="19"/>
              </w:rPr>
            </w:r>
            <w:r>
              <w:rPr>
                <w:rFonts w:ascii="Arial" w:hAnsi="Arial"/>
                <w:b w:val="0"/>
                <w:sz w:val="19"/>
              </w:rPr>
              <w:t>Binance spot daily klines API</w:t>
            </w:r>
          </w:p>
        </w:tc>
      </w:tr>
      <w:tr>
        <w:tc>
          <w:tcPr>
            <w:tcW w:type="dxa" w:w="2381"/>
            <w:vAlign w:val="center"/>
          </w:tcPr>
          <w:p>
            <w:pPr>
              <w:spacing w:after="0"/>
              <w:jc w:val="left"/>
            </w:pPr>
            <w:r>
              <w:rPr>
                <w:rFonts w:ascii="Arial" w:hAnsi="Arial"/>
                <w:sz w:val="19"/>
              </w:rPr>
            </w:r>
            <w:r>
              <w:rPr>
                <w:rFonts w:ascii="Arial" w:hAnsi="Arial"/>
                <w:b w:val="0"/>
                <w:sz w:val="19"/>
              </w:rPr>
              <w:t>Workbook chi tiết</w:t>
            </w:r>
          </w:p>
        </w:tc>
        <w:tc>
          <w:tcPr>
            <w:tcW w:type="dxa" w:w="6690"/>
            <w:vAlign w:val="center"/>
          </w:tcPr>
          <w:p>
            <w:pPr>
              <w:spacing w:after="0"/>
              <w:jc w:val="left"/>
            </w:pPr>
            <w:r>
              <w:rPr>
                <w:rFonts w:ascii="Arial" w:hAnsi="Arial"/>
                <w:sz w:val="19"/>
              </w:rPr>
            </w:r>
            <w:r>
              <w:rPr>
                <w:rFonts w:ascii="Arial" w:hAnsi="Arial"/>
                <w:b w:val="0"/>
                <w:sz w:val="19"/>
              </w:rPr>
              <w:t>D:\Workspace\Codex\Crypto trading\outputs\nxt_crypto_btc_sol_sui_6y_v30_close_25\NXT_V30_Close_25_ATR_6Y_BTC_SOL_SUI.xlsx</w:t>
            </w:r>
          </w:p>
        </w:tc>
      </w:tr>
      <w:tr>
        <w:tc>
          <w:tcPr>
            <w:tcW w:type="dxa" w:w="2381"/>
            <w:vAlign w:val="center"/>
          </w:tcPr>
          <w:p>
            <w:pPr>
              <w:spacing w:after="0"/>
              <w:jc w:val="left"/>
            </w:pPr>
            <w:r>
              <w:rPr>
                <w:rFonts w:ascii="Arial" w:hAnsi="Arial"/>
                <w:sz w:val="19"/>
              </w:rPr>
            </w:r>
            <w:r>
              <w:rPr>
                <w:rFonts w:ascii="Arial" w:hAnsi="Arial"/>
                <w:b w:val="0"/>
                <w:sz w:val="19"/>
              </w:rPr>
              <w:t>Ngày xuất tài liệu</w:t>
            </w:r>
          </w:p>
        </w:tc>
        <w:tc>
          <w:tcPr>
            <w:tcW w:type="dxa" w:w="6690"/>
            <w:vAlign w:val="center"/>
          </w:tcPr>
          <w:p>
            <w:pPr>
              <w:spacing w:after="0"/>
              <w:jc w:val="left"/>
            </w:pPr>
            <w:r>
              <w:rPr>
                <w:rFonts w:ascii="Arial" w:hAnsi="Arial"/>
                <w:sz w:val="19"/>
              </w:rPr>
            </w:r>
            <w:r>
              <w:rPr>
                <w:rFonts w:ascii="Arial" w:hAnsi="Arial"/>
                <w:b w:val="0"/>
                <w:sz w:val="19"/>
              </w:rPr>
              <w:t>18-May-2026 22:57</w:t>
            </w:r>
          </w:p>
        </w:tc>
      </w:tr>
    </w:tbl>
    <w:p>
      <w:pPr>
        <w:spacing w:after="40"/>
      </w:pPr>
    </w:p>
    <w:p>
      <w:pPr>
        <w:pStyle w:val="Heading1"/>
      </w:pPr>
      <w:r>
        <w:rPr>
          <w:rFonts w:ascii="Arial" w:hAnsi="Arial"/>
          <w:color w:val="111827"/>
        </w:rPr>
        <w:t>Rule v3.0</w:t>
      </w:r>
    </w:p>
    <w:tbl>
      <w:tblPr>
        <w:tblStyle w:val="TableGrid"/>
        <w:tblW w:type="auto" w:w="0"/>
        <w:jc w:val="left"/>
        <w:tblLayout w:type="fixed"/>
        <w:tblLook w:firstColumn="1" w:firstRow="1" w:lastColumn="0" w:lastRow="0" w:noHBand="0" w:noVBand="1" w:val="04A0"/>
      </w:tblPr>
      <w:tblGrid>
        <w:gridCol w:w="4986"/>
        <w:gridCol w:w="4986"/>
      </w:tblGrid>
      <w:tr>
        <w:tc>
          <w:tcPr>
            <w:tcW w:type="dxa" w:w="2494"/>
            <w:vAlign w:val="center"/>
            <w:shd w:fill="EAF0F6"/>
          </w:tcPr>
          <w:p>
            <w:pPr>
              <w:spacing w:after="0"/>
              <w:jc w:val="left"/>
            </w:pPr>
            <w:r>
              <w:rPr>
                <w:rFonts w:ascii="Arial" w:hAnsi="Arial"/>
                <w:b/>
                <w:color w:val="1F2937"/>
                <w:sz w:val="19"/>
              </w:rPr>
            </w:r>
            <w:r>
              <w:rPr>
                <w:rFonts w:ascii="Arial" w:hAnsi="Arial"/>
                <w:b/>
                <w:color w:val="1F2937"/>
                <w:sz w:val="19"/>
              </w:rPr>
              <w:t>Nhóm rule</w:t>
            </w:r>
          </w:p>
        </w:tc>
        <w:tc>
          <w:tcPr>
            <w:tcW w:type="dxa" w:w="6576"/>
            <w:vAlign w:val="center"/>
            <w:shd w:fill="EAF0F6"/>
          </w:tcPr>
          <w:p>
            <w:pPr>
              <w:spacing w:after="0"/>
              <w:jc w:val="left"/>
            </w:pPr>
            <w:r>
              <w:rPr>
                <w:rFonts w:ascii="Arial" w:hAnsi="Arial"/>
                <w:b/>
                <w:color w:val="1F2937"/>
                <w:sz w:val="19"/>
              </w:rPr>
            </w:r>
            <w:r>
              <w:rPr>
                <w:rFonts w:ascii="Arial" w:hAnsi="Arial"/>
                <w:b/>
                <w:color w:val="1F2937"/>
                <w:sz w:val="19"/>
              </w:rPr>
              <w:t>Thiết lập v3.0</w:t>
            </w:r>
          </w:p>
        </w:tc>
      </w:tr>
      <w:tr>
        <w:tc>
          <w:tcPr>
            <w:tcW w:type="dxa" w:w="2494"/>
            <w:vAlign w:val="center"/>
          </w:tcPr>
          <w:p>
            <w:pPr>
              <w:spacing w:after="0"/>
              <w:jc w:val="left"/>
            </w:pPr>
            <w:r>
              <w:rPr>
                <w:rFonts w:ascii="Arial" w:hAnsi="Arial"/>
                <w:sz w:val="19"/>
              </w:rPr>
            </w:r>
            <w:r>
              <w:rPr>
                <w:rFonts w:ascii="Arial" w:hAnsi="Arial"/>
                <w:b w:val="0"/>
                <w:sz w:val="19"/>
              </w:rPr>
              <w:t>Timeframe</w:t>
            </w:r>
          </w:p>
        </w:tc>
        <w:tc>
          <w:tcPr>
            <w:tcW w:type="dxa" w:w="6576"/>
            <w:vAlign w:val="center"/>
          </w:tcPr>
          <w:p>
            <w:pPr>
              <w:spacing w:after="0"/>
              <w:jc w:val="left"/>
            </w:pPr>
            <w:r>
              <w:rPr>
                <w:rFonts w:ascii="Arial" w:hAnsi="Arial"/>
                <w:sz w:val="19"/>
              </w:rPr>
            </w:r>
            <w:r>
              <w:rPr>
                <w:rFonts w:ascii="Arial" w:hAnsi="Arial"/>
                <w:b w:val="0"/>
                <w:sz w:val="19"/>
              </w:rPr>
              <w:t>Daily signal, entry tại open của nến daily kế tiếp.</w:t>
            </w:r>
          </w:p>
        </w:tc>
      </w:tr>
      <w:tr>
        <w:tc>
          <w:tcPr>
            <w:tcW w:type="dxa" w:w="2494"/>
            <w:vAlign w:val="center"/>
          </w:tcPr>
          <w:p>
            <w:pPr>
              <w:spacing w:after="0"/>
              <w:jc w:val="left"/>
            </w:pPr>
            <w:r>
              <w:rPr>
                <w:rFonts w:ascii="Arial" w:hAnsi="Arial"/>
                <w:sz w:val="19"/>
              </w:rPr>
            </w:r>
            <w:r>
              <w:rPr>
                <w:rFonts w:ascii="Arial" w:hAnsi="Arial"/>
                <w:b w:val="0"/>
                <w:sz w:val="19"/>
              </w:rPr>
              <w:t>Weekly regime</w:t>
            </w:r>
          </w:p>
        </w:tc>
        <w:tc>
          <w:tcPr>
            <w:tcW w:type="dxa" w:w="6576"/>
            <w:vAlign w:val="center"/>
          </w:tcPr>
          <w:p>
            <w:pPr>
              <w:spacing w:after="0"/>
              <w:jc w:val="left"/>
            </w:pPr>
            <w:r>
              <w:rPr>
                <w:rFonts w:ascii="Arial" w:hAnsi="Arial"/>
                <w:sz w:val="19"/>
              </w:rPr>
            </w:r>
            <w:r>
              <w:rPr>
                <w:rFonts w:ascii="Arial" w:hAnsi="Arial"/>
                <w:b w:val="0"/>
                <w:sz w:val="19"/>
              </w:rPr>
              <w:t>OFF, không dùng làm filter entry.</w:t>
            </w:r>
          </w:p>
        </w:tc>
      </w:tr>
      <w:tr>
        <w:tc>
          <w:tcPr>
            <w:tcW w:type="dxa" w:w="2494"/>
            <w:vAlign w:val="center"/>
          </w:tcPr>
          <w:p>
            <w:pPr>
              <w:spacing w:after="0"/>
              <w:jc w:val="left"/>
            </w:pPr>
            <w:r>
              <w:rPr>
                <w:rFonts w:ascii="Arial" w:hAnsi="Arial"/>
                <w:sz w:val="19"/>
              </w:rPr>
            </w:r>
            <w:r>
              <w:rPr>
                <w:rFonts w:ascii="Arial" w:hAnsi="Arial"/>
                <w:b w:val="0"/>
                <w:sz w:val="19"/>
              </w:rPr>
              <w:t>Trend trigger</w:t>
            </w:r>
          </w:p>
        </w:tc>
        <w:tc>
          <w:tcPr>
            <w:tcW w:type="dxa" w:w="6576"/>
            <w:vAlign w:val="center"/>
          </w:tcPr>
          <w:p>
            <w:pPr>
              <w:spacing w:after="0"/>
              <w:jc w:val="left"/>
            </w:pPr>
            <w:r>
              <w:rPr>
                <w:rFonts w:ascii="Arial" w:hAnsi="Arial"/>
                <w:sz w:val="19"/>
              </w:rPr>
            </w:r>
            <w:r>
              <w:rPr>
                <w:rFonts w:ascii="Arial" w:hAnsi="Arial"/>
                <w:b w:val="0"/>
                <w:sz w:val="19"/>
              </w:rPr>
              <w:t>SSL Channel 10/10 crossover, xấp xỉ bằng SMA(high,10) và SMA(low,10).</w:t>
            </w:r>
          </w:p>
        </w:tc>
      </w:tr>
      <w:tr>
        <w:tc>
          <w:tcPr>
            <w:tcW w:type="dxa" w:w="2494"/>
            <w:vAlign w:val="center"/>
          </w:tcPr>
          <w:p>
            <w:pPr>
              <w:spacing w:after="0"/>
              <w:jc w:val="left"/>
            </w:pPr>
            <w:r>
              <w:rPr>
                <w:rFonts w:ascii="Arial" w:hAnsi="Arial"/>
                <w:sz w:val="19"/>
              </w:rPr>
            </w:r>
            <w:r>
              <w:rPr>
                <w:rFonts w:ascii="Arial" w:hAnsi="Arial"/>
                <w:b w:val="0"/>
                <w:sz w:val="19"/>
              </w:rPr>
              <w:t>EMA confirmation</w:t>
            </w:r>
          </w:p>
        </w:tc>
        <w:tc>
          <w:tcPr>
            <w:tcW w:type="dxa" w:w="6576"/>
            <w:vAlign w:val="center"/>
          </w:tcPr>
          <w:p>
            <w:pPr>
              <w:spacing w:after="0"/>
              <w:jc w:val="left"/>
            </w:pPr>
            <w:r>
              <w:rPr>
                <w:rFonts w:ascii="Arial" w:hAnsi="Arial"/>
                <w:sz w:val="19"/>
              </w:rPr>
            </w:r>
            <w:r>
              <w:rPr>
                <w:rFonts w:ascii="Arial" w:hAnsi="Arial"/>
                <w:b w:val="0"/>
                <w:sz w:val="19"/>
              </w:rPr>
              <w:t>Giá cross EMA20 trong vòng 3 nến gần nhất theo hướng lệnh.</w:t>
            </w:r>
          </w:p>
        </w:tc>
      </w:tr>
      <w:tr>
        <w:tc>
          <w:tcPr>
            <w:tcW w:type="dxa" w:w="2494"/>
            <w:vAlign w:val="center"/>
          </w:tcPr>
          <w:p>
            <w:pPr>
              <w:spacing w:after="0"/>
              <w:jc w:val="left"/>
            </w:pPr>
            <w:r>
              <w:rPr>
                <w:rFonts w:ascii="Arial" w:hAnsi="Arial"/>
                <w:sz w:val="19"/>
              </w:rPr>
            </w:r>
            <w:r>
              <w:rPr>
                <w:rFonts w:ascii="Arial" w:hAnsi="Arial"/>
                <w:b w:val="0"/>
                <w:sz w:val="19"/>
              </w:rPr>
              <w:t>EMA50 distance</w:t>
            </w:r>
          </w:p>
        </w:tc>
        <w:tc>
          <w:tcPr>
            <w:tcW w:type="dxa" w:w="6576"/>
            <w:vAlign w:val="center"/>
          </w:tcPr>
          <w:p>
            <w:pPr>
              <w:spacing w:after="0"/>
              <w:jc w:val="left"/>
            </w:pPr>
            <w:r>
              <w:rPr>
                <w:rFonts w:ascii="Arial" w:hAnsi="Arial"/>
                <w:sz w:val="19"/>
              </w:rPr>
            </w:r>
            <w:r>
              <w:rPr>
                <w:rFonts w:ascii="Arial" w:hAnsi="Arial"/>
                <w:b w:val="0"/>
                <w:sz w:val="19"/>
              </w:rPr>
              <w:t>Khoảng cách từ close tới EMA50 &lt;= 2 ATR(14).</w:t>
            </w:r>
          </w:p>
        </w:tc>
      </w:tr>
      <w:tr>
        <w:tc>
          <w:tcPr>
            <w:tcW w:type="dxa" w:w="2494"/>
            <w:vAlign w:val="center"/>
          </w:tcPr>
          <w:p>
            <w:pPr>
              <w:spacing w:after="0"/>
              <w:jc w:val="left"/>
            </w:pPr>
            <w:r>
              <w:rPr>
                <w:rFonts w:ascii="Arial" w:hAnsi="Arial"/>
                <w:sz w:val="19"/>
              </w:rPr>
            </w:r>
            <w:r>
              <w:rPr>
                <w:rFonts w:ascii="Arial" w:hAnsi="Arial"/>
                <w:b w:val="0"/>
                <w:sz w:val="19"/>
              </w:rPr>
              <w:t>Volume filter</w:t>
            </w:r>
          </w:p>
        </w:tc>
        <w:tc>
          <w:tcPr>
            <w:tcW w:type="dxa" w:w="6576"/>
            <w:vAlign w:val="center"/>
          </w:tcPr>
          <w:p>
            <w:pPr>
              <w:spacing w:after="0"/>
              <w:jc w:val="left"/>
            </w:pPr>
            <w:r>
              <w:rPr>
                <w:rFonts w:ascii="Arial" w:hAnsi="Arial"/>
                <w:sz w:val="19"/>
              </w:rPr>
            </w:r>
            <w:r>
              <w:rPr>
                <w:rFonts w:ascii="Arial" w:hAnsi="Arial"/>
                <w:b w:val="0"/>
                <w:sz w:val="19"/>
              </w:rPr>
              <w:t>Net Volume Binance = taker buy base volume x 2 - total volume. Long cần &gt; 0, Short cần &lt; 0.</w:t>
            </w:r>
          </w:p>
        </w:tc>
      </w:tr>
      <w:tr>
        <w:tc>
          <w:tcPr>
            <w:tcW w:type="dxa" w:w="2494"/>
            <w:vAlign w:val="center"/>
          </w:tcPr>
          <w:p>
            <w:pPr>
              <w:spacing w:after="0"/>
              <w:jc w:val="left"/>
            </w:pPr>
            <w:r>
              <w:rPr>
                <w:rFonts w:ascii="Arial" w:hAnsi="Arial"/>
                <w:sz w:val="19"/>
              </w:rPr>
            </w:r>
            <w:r>
              <w:rPr>
                <w:rFonts w:ascii="Arial" w:hAnsi="Arial"/>
                <w:b w:val="0"/>
                <w:sz w:val="19"/>
              </w:rPr>
              <w:t>Stop loss</w:t>
            </w:r>
          </w:p>
        </w:tc>
        <w:tc>
          <w:tcPr>
            <w:tcW w:type="dxa" w:w="6576"/>
            <w:vAlign w:val="center"/>
          </w:tcPr>
          <w:p>
            <w:pPr>
              <w:spacing w:after="0"/>
              <w:jc w:val="left"/>
            </w:pPr>
            <w:r>
              <w:rPr>
                <w:rFonts w:ascii="Arial" w:hAnsi="Arial"/>
                <w:sz w:val="19"/>
              </w:rPr>
            </w:r>
            <w:r>
              <w:rPr>
                <w:rFonts w:ascii="Arial" w:hAnsi="Arial"/>
                <w:b w:val="0"/>
                <w:sz w:val="19"/>
              </w:rPr>
              <w:t>1.5 ATR(14) từ entry.</w:t>
            </w:r>
          </w:p>
        </w:tc>
      </w:tr>
      <w:tr>
        <w:tc>
          <w:tcPr>
            <w:tcW w:type="dxa" w:w="2494"/>
            <w:vAlign w:val="center"/>
          </w:tcPr>
          <w:p>
            <w:pPr>
              <w:spacing w:after="0"/>
              <w:jc w:val="left"/>
            </w:pPr>
            <w:r>
              <w:rPr>
                <w:rFonts w:ascii="Arial" w:hAnsi="Arial"/>
                <w:sz w:val="19"/>
              </w:rPr>
            </w:r>
            <w:r>
              <w:rPr>
                <w:rFonts w:ascii="Arial" w:hAnsi="Arial"/>
                <w:b w:val="0"/>
                <w:sz w:val="19"/>
              </w:rPr>
              <w:t>Take profit</w:t>
            </w:r>
          </w:p>
        </w:tc>
        <w:tc>
          <w:tcPr>
            <w:tcW w:type="dxa" w:w="6576"/>
            <w:vAlign w:val="center"/>
          </w:tcPr>
          <w:p>
            <w:pPr>
              <w:spacing w:after="0"/>
              <w:jc w:val="left"/>
            </w:pPr>
            <w:r>
              <w:rPr>
                <w:rFonts w:ascii="Arial" w:hAnsi="Arial"/>
                <w:sz w:val="19"/>
              </w:rPr>
            </w:r>
            <w:r>
              <w:rPr>
                <w:rFonts w:ascii="Arial" w:hAnsi="Arial"/>
                <w:b w:val="0"/>
                <w:sz w:val="19"/>
              </w:rPr>
              <w:t>Chốt 100% vị thế tại 2.5 ATR(14).</w:t>
            </w:r>
          </w:p>
        </w:tc>
      </w:tr>
      <w:tr>
        <w:tc>
          <w:tcPr>
            <w:tcW w:type="dxa" w:w="2494"/>
            <w:vAlign w:val="center"/>
          </w:tcPr>
          <w:p>
            <w:pPr>
              <w:spacing w:after="0"/>
              <w:jc w:val="left"/>
            </w:pPr>
            <w:r>
              <w:rPr>
                <w:rFonts w:ascii="Arial" w:hAnsi="Arial"/>
                <w:sz w:val="19"/>
              </w:rPr>
            </w:r>
            <w:r>
              <w:rPr>
                <w:rFonts w:ascii="Arial" w:hAnsi="Arial"/>
                <w:b w:val="0"/>
                <w:sz w:val="19"/>
              </w:rPr>
              <w:t>Exit khác</w:t>
            </w:r>
          </w:p>
        </w:tc>
        <w:tc>
          <w:tcPr>
            <w:tcW w:type="dxa" w:w="6576"/>
            <w:vAlign w:val="center"/>
          </w:tcPr>
          <w:p>
            <w:pPr>
              <w:spacing w:after="0"/>
              <w:jc w:val="left"/>
            </w:pPr>
            <w:r>
              <w:rPr>
                <w:rFonts w:ascii="Arial" w:hAnsi="Arial"/>
                <w:sz w:val="19"/>
              </w:rPr>
            </w:r>
            <w:r>
              <w:rPr>
                <w:rFonts w:ascii="Arial" w:hAnsi="Arial"/>
                <w:b w:val="0"/>
                <w:sz w:val="19"/>
              </w:rPr>
              <w:t>Opposite SSL flip, stop loss, hoặc mark-to-market cuối kỳ nếu chưa chạm 2.5 ATR.</w:t>
            </w:r>
          </w:p>
        </w:tc>
      </w:tr>
      <w:tr>
        <w:tc>
          <w:tcPr>
            <w:tcW w:type="dxa" w:w="2494"/>
            <w:vAlign w:val="center"/>
          </w:tcPr>
          <w:p>
            <w:pPr>
              <w:spacing w:after="0"/>
              <w:jc w:val="left"/>
            </w:pPr>
            <w:r>
              <w:rPr>
                <w:rFonts w:ascii="Arial" w:hAnsi="Arial"/>
                <w:sz w:val="19"/>
              </w:rPr>
            </w:r>
            <w:r>
              <w:rPr>
                <w:rFonts w:ascii="Arial" w:hAnsi="Arial"/>
                <w:b w:val="0"/>
                <w:sz w:val="19"/>
              </w:rPr>
              <w:t>Cost model</w:t>
            </w:r>
          </w:p>
        </w:tc>
        <w:tc>
          <w:tcPr>
            <w:tcW w:type="dxa" w:w="6576"/>
            <w:vAlign w:val="center"/>
          </w:tcPr>
          <w:p>
            <w:pPr>
              <w:spacing w:after="0"/>
              <w:jc w:val="left"/>
            </w:pPr>
            <w:r>
              <w:rPr>
                <w:rFonts w:ascii="Arial" w:hAnsi="Arial"/>
                <w:sz w:val="19"/>
              </w:rPr>
            </w:r>
            <w:r>
              <w:rPr>
                <w:rFonts w:ascii="Arial" w:hAnsi="Arial"/>
                <w:b w:val="0"/>
                <w:sz w:val="19"/>
              </w:rPr>
              <w:t>0.06% fee + 0.05% slippage mỗi chiều, trừ trực tiếp vào R từng lệnh.</w:t>
            </w:r>
          </w:p>
        </w:tc>
      </w:tr>
      <w:tr>
        <w:tc>
          <w:tcPr>
            <w:tcW w:type="dxa" w:w="2494"/>
            <w:vAlign w:val="center"/>
          </w:tcPr>
          <w:p>
            <w:pPr>
              <w:spacing w:after="0"/>
              <w:jc w:val="left"/>
            </w:pPr>
            <w:r>
              <w:rPr>
                <w:rFonts w:ascii="Arial" w:hAnsi="Arial"/>
                <w:sz w:val="19"/>
              </w:rPr>
            </w:r>
            <w:r>
              <w:rPr>
                <w:rFonts w:ascii="Arial" w:hAnsi="Arial"/>
                <w:b w:val="0"/>
                <w:sz w:val="19"/>
              </w:rPr>
              <w:t>Intraday assumption</w:t>
            </w:r>
          </w:p>
        </w:tc>
        <w:tc>
          <w:tcPr>
            <w:tcW w:type="dxa" w:w="6576"/>
            <w:vAlign w:val="center"/>
          </w:tcPr>
          <w:p>
            <w:pPr>
              <w:spacing w:after="0"/>
              <w:jc w:val="left"/>
            </w:pPr>
            <w:r>
              <w:rPr>
                <w:rFonts w:ascii="Arial" w:hAnsi="Arial"/>
                <w:sz w:val="19"/>
              </w:rPr>
            </w:r>
            <w:r>
              <w:rPr>
                <w:rFonts w:ascii="Arial" w:hAnsi="Arial"/>
                <w:b w:val="0"/>
                <w:sz w:val="19"/>
              </w:rPr>
              <w:t>Nếu cùng ngày chạm stop và TP, ưu tiên stop trước TP để bảo thủ.</w:t>
            </w:r>
          </w:p>
        </w:tc>
      </w:tr>
    </w:tbl>
    <w:p>
      <w:pPr>
        <w:spacing w:after="40"/>
      </w:pPr>
    </w:p>
    <w:p>
      <w:pPr>
        <w:pStyle w:val="Heading1"/>
      </w:pPr>
      <w:r>
        <w:rPr>
          <w:rFonts w:ascii="Arial" w:hAnsi="Arial"/>
          <w:color w:val="111827"/>
        </w:rPr>
        <w:t>Kết quả backtest 6 năm</w:t>
      </w:r>
    </w:p>
    <w:tbl>
      <w:tblPr>
        <w:tblStyle w:val="TableGrid"/>
        <w:tblW w:type="auto" w:w="0"/>
        <w:jc w:val="left"/>
        <w:tblLayout w:type="fixed"/>
        <w:tblLook w:firstColumn="1" w:firstRow="1" w:lastColumn="0" w:lastRow="0" w:noHBand="0" w:noVBand="1" w:val="04A0"/>
      </w:tblPr>
      <w:tblGrid>
        <w:gridCol w:w="4986"/>
        <w:gridCol w:w="4986"/>
      </w:tblGrid>
      <w:tr>
        <w:tc>
          <w:tcPr>
            <w:tcW w:type="dxa" w:w="2948"/>
            <w:vAlign w:val="center"/>
            <w:shd w:fill="EAF0F6"/>
          </w:tcPr>
          <w:p>
            <w:pPr>
              <w:spacing w:after="0"/>
              <w:jc w:val="left"/>
            </w:pPr>
            <w:r>
              <w:rPr>
                <w:rFonts w:ascii="Arial" w:hAnsi="Arial"/>
                <w:b/>
                <w:color w:val="1F2937"/>
                <w:sz w:val="19"/>
              </w:rPr>
            </w:r>
            <w:r>
              <w:rPr>
                <w:rFonts w:ascii="Arial" w:hAnsi="Arial"/>
                <w:b/>
                <w:color w:val="1F2937"/>
                <w:sz w:val="19"/>
              </w:rPr>
              <w:t>Metric</w:t>
            </w:r>
          </w:p>
        </w:tc>
        <w:tc>
          <w:tcPr>
            <w:tcW w:type="dxa" w:w="3288"/>
            <w:vAlign w:val="center"/>
            <w:shd w:fill="EAF0F6"/>
          </w:tcPr>
          <w:p>
            <w:pPr>
              <w:spacing w:after="0"/>
              <w:jc w:val="left"/>
            </w:pPr>
            <w:r>
              <w:rPr>
                <w:rFonts w:ascii="Arial" w:hAnsi="Arial"/>
                <w:b/>
                <w:color w:val="1F2937"/>
                <w:sz w:val="19"/>
              </w:rPr>
            </w:r>
            <w:r>
              <w:rPr>
                <w:rFonts w:ascii="Arial" w:hAnsi="Arial"/>
                <w:b/>
                <w:color w:val="1F2937"/>
                <w:sz w:val="19"/>
              </w:rPr>
              <w:t>Kết quả</w:t>
            </w:r>
          </w:p>
        </w:tc>
      </w:tr>
      <w:tr>
        <w:tc>
          <w:tcPr>
            <w:tcW w:type="dxa" w:w="2948"/>
            <w:vAlign w:val="center"/>
          </w:tcPr>
          <w:p>
            <w:pPr>
              <w:spacing w:after="0"/>
              <w:jc w:val="left"/>
            </w:pPr>
            <w:r>
              <w:rPr>
                <w:rFonts w:ascii="Arial" w:hAnsi="Arial"/>
                <w:sz w:val="19"/>
              </w:rPr>
            </w:r>
            <w:r>
              <w:rPr>
                <w:rFonts w:ascii="Arial" w:hAnsi="Arial"/>
                <w:b w:val="0"/>
                <w:sz w:val="19"/>
              </w:rPr>
              <w:t>Tổng số lệnh</w:t>
            </w:r>
          </w:p>
        </w:tc>
        <w:tc>
          <w:tcPr>
            <w:tcW w:type="dxa" w:w="3288"/>
            <w:vAlign w:val="center"/>
          </w:tcPr>
          <w:p>
            <w:pPr>
              <w:spacing w:after="0"/>
              <w:jc w:val="left"/>
            </w:pPr>
            <w:r>
              <w:rPr>
                <w:rFonts w:ascii="Arial" w:hAnsi="Arial"/>
                <w:sz w:val="19"/>
              </w:rPr>
            </w:r>
            <w:r>
              <w:rPr>
                <w:rFonts w:ascii="Arial" w:hAnsi="Arial"/>
                <w:b w:val="0"/>
                <w:sz w:val="19"/>
              </w:rPr>
              <w:t>169</w:t>
            </w:r>
          </w:p>
        </w:tc>
      </w:tr>
      <w:tr>
        <w:tc>
          <w:tcPr>
            <w:tcW w:type="dxa" w:w="2948"/>
            <w:vAlign w:val="center"/>
          </w:tcPr>
          <w:p>
            <w:pPr>
              <w:spacing w:after="0"/>
              <w:jc w:val="left"/>
            </w:pPr>
            <w:r>
              <w:rPr>
                <w:rFonts w:ascii="Arial" w:hAnsi="Arial"/>
                <w:sz w:val="19"/>
              </w:rPr>
            </w:r>
            <w:r>
              <w:rPr>
                <w:rFonts w:ascii="Arial" w:hAnsi="Arial"/>
                <w:b w:val="0"/>
                <w:sz w:val="19"/>
              </w:rPr>
              <w:t>Win / Loss</w:t>
            </w:r>
          </w:p>
        </w:tc>
        <w:tc>
          <w:tcPr>
            <w:tcW w:type="dxa" w:w="3288"/>
            <w:vAlign w:val="center"/>
          </w:tcPr>
          <w:p>
            <w:pPr>
              <w:spacing w:after="0"/>
              <w:jc w:val="left"/>
            </w:pPr>
            <w:r>
              <w:rPr>
                <w:rFonts w:ascii="Arial" w:hAnsi="Arial"/>
                <w:sz w:val="19"/>
              </w:rPr>
            </w:r>
            <w:r>
              <w:rPr>
                <w:rFonts w:ascii="Arial" w:hAnsi="Arial"/>
                <w:b w:val="0"/>
                <w:sz w:val="19"/>
              </w:rPr>
              <w:t>78 / 91</w:t>
            </w:r>
          </w:p>
        </w:tc>
      </w:tr>
      <w:tr>
        <w:tc>
          <w:tcPr>
            <w:tcW w:type="dxa" w:w="2948"/>
            <w:vAlign w:val="center"/>
          </w:tcPr>
          <w:p>
            <w:pPr>
              <w:spacing w:after="0"/>
              <w:jc w:val="left"/>
            </w:pPr>
            <w:r>
              <w:rPr>
                <w:rFonts w:ascii="Arial" w:hAnsi="Arial"/>
                <w:sz w:val="19"/>
              </w:rPr>
            </w:r>
            <w:r>
              <w:rPr>
                <w:rFonts w:ascii="Arial" w:hAnsi="Arial"/>
                <w:b w:val="0"/>
                <w:sz w:val="19"/>
              </w:rPr>
              <w:t>Win rate</w:t>
            </w:r>
          </w:p>
        </w:tc>
        <w:tc>
          <w:tcPr>
            <w:tcW w:type="dxa" w:w="3288"/>
            <w:vAlign w:val="center"/>
          </w:tcPr>
          <w:p>
            <w:pPr>
              <w:spacing w:after="0"/>
              <w:jc w:val="left"/>
            </w:pPr>
            <w:r>
              <w:rPr>
                <w:rFonts w:ascii="Arial" w:hAnsi="Arial"/>
                <w:sz w:val="19"/>
              </w:rPr>
            </w:r>
            <w:r>
              <w:rPr>
                <w:rFonts w:ascii="Arial" w:hAnsi="Arial"/>
                <w:b w:val="0"/>
                <w:sz w:val="19"/>
              </w:rPr>
              <w:t>46.15%</w:t>
            </w:r>
          </w:p>
        </w:tc>
      </w:tr>
      <w:tr>
        <w:tc>
          <w:tcPr>
            <w:tcW w:type="dxa" w:w="2948"/>
            <w:vAlign w:val="center"/>
          </w:tcPr>
          <w:p>
            <w:pPr>
              <w:spacing w:after="0"/>
              <w:jc w:val="left"/>
            </w:pPr>
            <w:r>
              <w:rPr>
                <w:rFonts w:ascii="Arial" w:hAnsi="Arial"/>
                <w:sz w:val="19"/>
              </w:rPr>
            </w:r>
            <w:r>
              <w:rPr>
                <w:rFonts w:ascii="Arial" w:hAnsi="Arial"/>
                <w:b w:val="0"/>
                <w:sz w:val="19"/>
              </w:rPr>
              <w:t>Total R</w:t>
            </w:r>
          </w:p>
        </w:tc>
        <w:tc>
          <w:tcPr>
            <w:tcW w:type="dxa" w:w="3288"/>
            <w:vAlign w:val="center"/>
          </w:tcPr>
          <w:p>
            <w:pPr>
              <w:spacing w:after="0"/>
              <w:jc w:val="left"/>
            </w:pPr>
            <w:r>
              <w:rPr>
                <w:rFonts w:ascii="Arial" w:hAnsi="Arial"/>
                <w:sz w:val="19"/>
              </w:rPr>
            </w:r>
            <w:r>
              <w:rPr>
                <w:rFonts w:ascii="Arial" w:hAnsi="Arial"/>
                <w:b w:val="0"/>
                <w:sz w:val="19"/>
              </w:rPr>
              <w:t>+91.44R</w:t>
            </w:r>
          </w:p>
        </w:tc>
      </w:tr>
      <w:tr>
        <w:tc>
          <w:tcPr>
            <w:tcW w:type="dxa" w:w="2948"/>
            <w:vAlign w:val="center"/>
          </w:tcPr>
          <w:p>
            <w:pPr>
              <w:spacing w:after="0"/>
              <w:jc w:val="left"/>
            </w:pPr>
            <w:r>
              <w:rPr>
                <w:rFonts w:ascii="Arial" w:hAnsi="Arial"/>
                <w:sz w:val="19"/>
              </w:rPr>
            </w:r>
            <w:r>
              <w:rPr>
                <w:rFonts w:ascii="Arial" w:hAnsi="Arial"/>
                <w:b w:val="0"/>
                <w:sz w:val="19"/>
              </w:rPr>
              <w:t>Average R / trade</w:t>
            </w:r>
          </w:p>
        </w:tc>
        <w:tc>
          <w:tcPr>
            <w:tcW w:type="dxa" w:w="3288"/>
            <w:vAlign w:val="center"/>
          </w:tcPr>
          <w:p>
            <w:pPr>
              <w:spacing w:after="0"/>
              <w:jc w:val="left"/>
            </w:pPr>
            <w:r>
              <w:rPr>
                <w:rFonts w:ascii="Arial" w:hAnsi="Arial"/>
                <w:sz w:val="19"/>
              </w:rPr>
            </w:r>
            <w:r>
              <w:rPr>
                <w:rFonts w:ascii="Arial" w:hAnsi="Arial"/>
                <w:b w:val="0"/>
                <w:sz w:val="19"/>
              </w:rPr>
              <w:t>+0.54R</w:t>
            </w:r>
          </w:p>
        </w:tc>
      </w:tr>
      <w:tr>
        <w:tc>
          <w:tcPr>
            <w:tcW w:type="dxa" w:w="2948"/>
            <w:vAlign w:val="center"/>
          </w:tcPr>
          <w:p>
            <w:pPr>
              <w:spacing w:after="0"/>
              <w:jc w:val="left"/>
            </w:pPr>
            <w:r>
              <w:rPr>
                <w:rFonts w:ascii="Arial" w:hAnsi="Arial"/>
                <w:sz w:val="19"/>
              </w:rPr>
            </w:r>
            <w:r>
              <w:rPr>
                <w:rFonts w:ascii="Arial" w:hAnsi="Arial"/>
                <w:b w:val="0"/>
                <w:sz w:val="19"/>
              </w:rPr>
              <w:t>Best / Worst trade</w:t>
            </w:r>
          </w:p>
        </w:tc>
        <w:tc>
          <w:tcPr>
            <w:tcW w:type="dxa" w:w="3288"/>
            <w:vAlign w:val="center"/>
          </w:tcPr>
          <w:p>
            <w:pPr>
              <w:spacing w:after="0"/>
              <w:jc w:val="left"/>
            </w:pPr>
            <w:r>
              <w:rPr>
                <w:rFonts w:ascii="Arial" w:hAnsi="Arial"/>
                <w:sz w:val="19"/>
              </w:rPr>
            </w:r>
            <w:r>
              <w:rPr>
                <w:rFonts w:ascii="Arial" w:hAnsi="Arial"/>
                <w:b w:val="0"/>
                <w:sz w:val="19"/>
              </w:rPr>
              <w:t>+2.49R / -1.06R</w:t>
            </w:r>
          </w:p>
        </w:tc>
      </w:tr>
      <w:tr>
        <w:tc>
          <w:tcPr>
            <w:tcW w:type="dxa" w:w="2948"/>
            <w:vAlign w:val="center"/>
          </w:tcPr>
          <w:p>
            <w:pPr>
              <w:spacing w:after="0"/>
              <w:jc w:val="left"/>
            </w:pPr>
            <w:r>
              <w:rPr>
                <w:rFonts w:ascii="Arial" w:hAnsi="Arial"/>
                <w:sz w:val="19"/>
              </w:rPr>
            </w:r>
            <w:r>
              <w:rPr>
                <w:rFonts w:ascii="Arial" w:hAnsi="Arial"/>
                <w:b w:val="0"/>
                <w:sz w:val="19"/>
              </w:rPr>
              <w:t>Max drawdown</w:t>
            </w:r>
          </w:p>
        </w:tc>
        <w:tc>
          <w:tcPr>
            <w:tcW w:type="dxa" w:w="3288"/>
            <w:vAlign w:val="center"/>
          </w:tcPr>
          <w:p>
            <w:pPr>
              <w:spacing w:after="0"/>
              <w:jc w:val="left"/>
            </w:pPr>
            <w:r>
              <w:rPr>
                <w:rFonts w:ascii="Arial" w:hAnsi="Arial"/>
                <w:sz w:val="19"/>
              </w:rPr>
            </w:r>
            <w:r>
              <w:rPr>
                <w:rFonts w:ascii="Arial" w:hAnsi="Arial"/>
                <w:b w:val="0"/>
                <w:sz w:val="19"/>
              </w:rPr>
              <w:t>-5.28R</w:t>
            </w:r>
          </w:p>
        </w:tc>
      </w:tr>
      <w:tr>
        <w:tc>
          <w:tcPr>
            <w:tcW w:type="dxa" w:w="2948"/>
            <w:vAlign w:val="center"/>
          </w:tcPr>
          <w:p>
            <w:pPr>
              <w:spacing w:after="0"/>
              <w:jc w:val="left"/>
            </w:pPr>
            <w:r>
              <w:rPr>
                <w:rFonts w:ascii="Arial" w:hAnsi="Arial"/>
                <w:sz w:val="19"/>
              </w:rPr>
            </w:r>
            <w:r>
              <w:rPr>
                <w:rFonts w:ascii="Arial" w:hAnsi="Arial"/>
                <w:b w:val="0"/>
                <w:sz w:val="19"/>
              </w:rPr>
              <w:t>Tỷ lệ chạm TP 2.5 ATR</w:t>
            </w:r>
          </w:p>
        </w:tc>
        <w:tc>
          <w:tcPr>
            <w:tcW w:type="dxa" w:w="3288"/>
            <w:vAlign w:val="center"/>
          </w:tcPr>
          <w:p>
            <w:pPr>
              <w:spacing w:after="0"/>
              <w:jc w:val="left"/>
            </w:pPr>
            <w:r>
              <w:rPr>
                <w:rFonts w:ascii="Arial" w:hAnsi="Arial"/>
                <w:sz w:val="19"/>
              </w:rPr>
            </w:r>
            <w:r>
              <w:rPr>
                <w:rFonts w:ascii="Arial" w:hAnsi="Arial"/>
                <w:b w:val="0"/>
                <w:sz w:val="19"/>
              </w:rPr>
              <w:t>37.87%</w:t>
            </w:r>
          </w:p>
        </w:tc>
      </w:tr>
      <w:tr>
        <w:tc>
          <w:tcPr>
            <w:tcW w:type="dxa" w:w="2948"/>
            <w:vAlign w:val="center"/>
          </w:tcPr>
          <w:p>
            <w:pPr>
              <w:spacing w:after="0"/>
              <w:jc w:val="left"/>
            </w:pPr>
            <w:r>
              <w:rPr>
                <w:rFonts w:ascii="Arial" w:hAnsi="Arial"/>
                <w:sz w:val="19"/>
              </w:rPr>
            </w:r>
            <w:r>
              <w:rPr>
                <w:rFonts w:ascii="Arial" w:hAnsi="Arial"/>
                <w:b w:val="0"/>
                <w:sz w:val="19"/>
              </w:rPr>
              <w:t>Compound minh họa 50k, risk 2%</w:t>
            </w:r>
          </w:p>
        </w:tc>
        <w:tc>
          <w:tcPr>
            <w:tcW w:type="dxa" w:w="3288"/>
            <w:vAlign w:val="center"/>
          </w:tcPr>
          <w:p>
            <w:pPr>
              <w:spacing w:after="0"/>
              <w:jc w:val="left"/>
            </w:pPr>
            <w:r>
              <w:rPr>
                <w:rFonts w:ascii="Arial" w:hAnsi="Arial"/>
                <w:sz w:val="19"/>
              </w:rPr>
            </w:r>
            <w:r>
              <w:rPr>
                <w:rFonts w:ascii="Arial" w:hAnsi="Arial"/>
                <w:b w:val="0"/>
                <w:sz w:val="19"/>
              </w:rPr>
              <w:t>$284,902 | Max DD -10.09%</w:t>
            </w:r>
          </w:p>
        </w:tc>
      </w:tr>
    </w:tbl>
    <w:p>
      <w:pPr>
        <w:spacing w:after="40"/>
      </w:pPr>
    </w:p>
    <w:p>
      <w:pPr>
        <w:pStyle w:val="Heading2"/>
      </w:pPr>
      <w:r>
        <w:rPr>
          <w:rFonts w:ascii="Arial" w:hAnsi="Arial"/>
          <w:color w:val="111827"/>
        </w:rPr>
        <w:t>Đóng góp theo coin</w:t>
      </w:r>
    </w:p>
    <w:tbl>
      <w:tblPr>
        <w:tblStyle w:val="TableGrid"/>
        <w:tblW w:type="auto" w:w="0"/>
        <w:jc w:val="left"/>
        <w:tblLayout w:type="fixed"/>
        <w:tblLook w:firstColumn="1" w:firstRow="1" w:lastColumn="0" w:lastRow="0" w:noHBand="0" w:noVBand="1" w:val="04A0"/>
      </w:tblPr>
      <w:tblGrid>
        <w:gridCol w:w="1662"/>
        <w:gridCol w:w="1662"/>
        <w:gridCol w:w="1662"/>
        <w:gridCol w:w="1662"/>
        <w:gridCol w:w="1662"/>
        <w:gridCol w:w="1662"/>
      </w:tblGrid>
      <w:tr>
        <w:tc>
          <w:tcPr>
            <w:tcW w:type="dxa" w:w="1020"/>
            <w:vAlign w:val="center"/>
            <w:shd w:fill="EAF0F6"/>
          </w:tcPr>
          <w:p>
            <w:pPr>
              <w:spacing w:after="0"/>
              <w:jc w:val="left"/>
            </w:pPr>
            <w:r>
              <w:rPr>
                <w:rFonts w:ascii="Arial" w:hAnsi="Arial"/>
                <w:b/>
                <w:color w:val="1F2937"/>
                <w:sz w:val="19"/>
              </w:rPr>
            </w:r>
            <w:r>
              <w:rPr>
                <w:rFonts w:ascii="Arial" w:hAnsi="Arial"/>
                <w:b/>
                <w:color w:val="1F2937"/>
                <w:sz w:val="19"/>
              </w:rPr>
              <w:t>Coin</w:t>
            </w:r>
          </w:p>
        </w:tc>
        <w:tc>
          <w:tcPr>
            <w:tcW w:type="dxa" w:w="964"/>
            <w:vAlign w:val="center"/>
            <w:shd w:fill="EAF0F6"/>
          </w:tcPr>
          <w:p>
            <w:pPr>
              <w:spacing w:after="0"/>
              <w:jc w:val="left"/>
            </w:pPr>
            <w:r>
              <w:rPr>
                <w:rFonts w:ascii="Arial" w:hAnsi="Arial"/>
                <w:b/>
                <w:color w:val="1F2937"/>
                <w:sz w:val="19"/>
              </w:rPr>
            </w:r>
            <w:r>
              <w:rPr>
                <w:rFonts w:ascii="Arial" w:hAnsi="Arial"/>
                <w:b/>
                <w:color w:val="1F2937"/>
                <w:sz w:val="19"/>
              </w:rPr>
              <w:t>Trades</w:t>
            </w:r>
          </w:p>
        </w:tc>
        <w:tc>
          <w:tcPr>
            <w:tcW w:type="dxa" w:w="964"/>
            <w:vAlign w:val="center"/>
            <w:shd w:fill="EAF0F6"/>
          </w:tcPr>
          <w:p>
            <w:pPr>
              <w:spacing w:after="0"/>
              <w:jc w:val="left"/>
            </w:pPr>
            <w:r>
              <w:rPr>
                <w:rFonts w:ascii="Arial" w:hAnsi="Arial"/>
                <w:b/>
                <w:color w:val="1F2937"/>
                <w:sz w:val="19"/>
              </w:rPr>
            </w:r>
            <w:r>
              <w:rPr>
                <w:rFonts w:ascii="Arial" w:hAnsi="Arial"/>
                <w:b/>
                <w:color w:val="1F2937"/>
                <w:sz w:val="19"/>
              </w:rPr>
              <w:t>W/L</w:t>
            </w:r>
          </w:p>
        </w:tc>
        <w:tc>
          <w:tcPr>
            <w:tcW w:type="dxa" w:w="1247"/>
            <w:vAlign w:val="center"/>
            <w:shd w:fill="EAF0F6"/>
          </w:tcPr>
          <w:p>
            <w:pPr>
              <w:spacing w:after="0"/>
              <w:jc w:val="left"/>
            </w:pPr>
            <w:r>
              <w:rPr>
                <w:rFonts w:ascii="Arial" w:hAnsi="Arial"/>
                <w:b/>
                <w:color w:val="1F2937"/>
                <w:sz w:val="19"/>
              </w:rPr>
            </w:r>
            <w:r>
              <w:rPr>
                <w:rFonts w:ascii="Arial" w:hAnsi="Arial"/>
                <w:b/>
                <w:color w:val="1F2937"/>
                <w:sz w:val="19"/>
              </w:rPr>
              <w:t>Win rate</w:t>
            </w:r>
          </w:p>
        </w:tc>
        <w:tc>
          <w:tcPr>
            <w:tcW w:type="dxa" w:w="1247"/>
            <w:vAlign w:val="center"/>
            <w:shd w:fill="EAF0F6"/>
          </w:tcPr>
          <w:p>
            <w:pPr>
              <w:spacing w:after="0"/>
              <w:jc w:val="left"/>
            </w:pPr>
            <w:r>
              <w:rPr>
                <w:rFonts w:ascii="Arial" w:hAnsi="Arial"/>
                <w:b/>
                <w:color w:val="1F2937"/>
                <w:sz w:val="19"/>
              </w:rPr>
            </w:r>
            <w:r>
              <w:rPr>
                <w:rFonts w:ascii="Arial" w:hAnsi="Arial"/>
                <w:b/>
                <w:color w:val="1F2937"/>
                <w:sz w:val="19"/>
              </w:rPr>
              <w:t>Total R</w:t>
            </w:r>
          </w:p>
        </w:tc>
        <w:tc>
          <w:tcPr>
            <w:tcW w:type="dxa" w:w="1247"/>
            <w:vAlign w:val="center"/>
            <w:shd w:fill="EAF0F6"/>
          </w:tcPr>
          <w:p>
            <w:pPr>
              <w:spacing w:after="0"/>
              <w:jc w:val="left"/>
            </w:pPr>
            <w:r>
              <w:rPr>
                <w:rFonts w:ascii="Arial" w:hAnsi="Arial"/>
                <w:b/>
                <w:color w:val="1F2937"/>
                <w:sz w:val="19"/>
              </w:rPr>
            </w:r>
            <w:r>
              <w:rPr>
                <w:rFonts w:ascii="Arial" w:hAnsi="Arial"/>
                <w:b/>
                <w:color w:val="1F2937"/>
                <w:sz w:val="19"/>
              </w:rPr>
              <w:t>Avg R</w:t>
            </w:r>
          </w:p>
        </w:tc>
      </w:tr>
      <w:tr>
        <w:tc>
          <w:tcPr>
            <w:tcW w:type="dxa" w:w="1020"/>
            <w:vAlign w:val="center"/>
          </w:tcPr>
          <w:p>
            <w:pPr>
              <w:spacing w:after="0"/>
              <w:jc w:val="left"/>
            </w:pPr>
            <w:r>
              <w:rPr>
                <w:rFonts w:ascii="Arial" w:hAnsi="Arial"/>
                <w:sz w:val="19"/>
              </w:rPr>
            </w:r>
            <w:r>
              <w:rPr>
                <w:rFonts w:ascii="Arial" w:hAnsi="Arial"/>
                <w:b w:val="0"/>
                <w:sz w:val="19"/>
              </w:rPr>
              <w:t>BTC</w:t>
            </w:r>
          </w:p>
        </w:tc>
        <w:tc>
          <w:tcPr>
            <w:tcW w:type="dxa" w:w="964"/>
            <w:vAlign w:val="center"/>
          </w:tcPr>
          <w:p>
            <w:pPr>
              <w:spacing w:after="0"/>
              <w:jc w:val="left"/>
            </w:pPr>
            <w:r>
              <w:rPr>
                <w:rFonts w:ascii="Arial" w:hAnsi="Arial"/>
                <w:sz w:val="19"/>
              </w:rPr>
            </w:r>
            <w:r>
              <w:rPr>
                <w:rFonts w:ascii="Arial" w:hAnsi="Arial"/>
                <w:b w:val="0"/>
                <w:sz w:val="19"/>
              </w:rPr>
              <w:t>73</w:t>
            </w:r>
          </w:p>
        </w:tc>
        <w:tc>
          <w:tcPr>
            <w:tcW w:type="dxa" w:w="964"/>
            <w:vAlign w:val="center"/>
          </w:tcPr>
          <w:p>
            <w:pPr>
              <w:spacing w:after="0"/>
              <w:jc w:val="left"/>
            </w:pPr>
            <w:r>
              <w:rPr>
                <w:rFonts w:ascii="Arial" w:hAnsi="Arial"/>
                <w:sz w:val="19"/>
              </w:rPr>
            </w:r>
            <w:r>
              <w:rPr>
                <w:rFonts w:ascii="Arial" w:hAnsi="Arial"/>
                <w:b w:val="0"/>
                <w:sz w:val="19"/>
              </w:rPr>
              <w:t>31/42</w:t>
            </w:r>
          </w:p>
        </w:tc>
        <w:tc>
          <w:tcPr>
            <w:tcW w:type="dxa" w:w="1247"/>
            <w:vAlign w:val="center"/>
          </w:tcPr>
          <w:p>
            <w:pPr>
              <w:spacing w:after="0"/>
              <w:jc w:val="left"/>
            </w:pPr>
            <w:r>
              <w:rPr>
                <w:rFonts w:ascii="Arial" w:hAnsi="Arial"/>
                <w:sz w:val="19"/>
              </w:rPr>
            </w:r>
            <w:r>
              <w:rPr>
                <w:rFonts w:ascii="Arial" w:hAnsi="Arial"/>
                <w:b w:val="0"/>
                <w:sz w:val="19"/>
              </w:rPr>
              <w:t>42.47%</w:t>
            </w:r>
          </w:p>
        </w:tc>
        <w:tc>
          <w:tcPr>
            <w:tcW w:type="dxa" w:w="1247"/>
            <w:vAlign w:val="center"/>
          </w:tcPr>
          <w:p>
            <w:pPr>
              <w:spacing w:after="0"/>
              <w:jc w:val="left"/>
            </w:pPr>
            <w:r>
              <w:rPr>
                <w:rFonts w:ascii="Arial" w:hAnsi="Arial"/>
                <w:sz w:val="19"/>
              </w:rPr>
            </w:r>
            <w:r>
              <w:rPr>
                <w:rFonts w:ascii="Arial" w:hAnsi="Arial"/>
                <w:b w:val="0"/>
                <w:sz w:val="19"/>
              </w:rPr>
              <w:t>+27.48R</w:t>
            </w:r>
          </w:p>
        </w:tc>
        <w:tc>
          <w:tcPr>
            <w:tcW w:type="dxa" w:w="1247"/>
            <w:vAlign w:val="center"/>
          </w:tcPr>
          <w:p>
            <w:pPr>
              <w:spacing w:after="0"/>
              <w:jc w:val="left"/>
            </w:pPr>
            <w:r>
              <w:rPr>
                <w:rFonts w:ascii="Arial" w:hAnsi="Arial"/>
                <w:sz w:val="19"/>
              </w:rPr>
            </w:r>
            <w:r>
              <w:rPr>
                <w:rFonts w:ascii="Arial" w:hAnsi="Arial"/>
                <w:b w:val="0"/>
                <w:sz w:val="19"/>
              </w:rPr>
              <w:t>+0.38R</w:t>
            </w:r>
          </w:p>
        </w:tc>
      </w:tr>
      <w:tr>
        <w:tc>
          <w:tcPr>
            <w:tcW w:type="dxa" w:w="1020"/>
            <w:vAlign w:val="center"/>
          </w:tcPr>
          <w:p>
            <w:pPr>
              <w:spacing w:after="0"/>
              <w:jc w:val="left"/>
            </w:pPr>
            <w:r>
              <w:rPr>
                <w:rFonts w:ascii="Arial" w:hAnsi="Arial"/>
                <w:sz w:val="19"/>
              </w:rPr>
            </w:r>
            <w:r>
              <w:rPr>
                <w:rFonts w:ascii="Arial" w:hAnsi="Arial"/>
                <w:b w:val="0"/>
                <w:sz w:val="19"/>
              </w:rPr>
              <w:t>SOL</w:t>
            </w:r>
          </w:p>
        </w:tc>
        <w:tc>
          <w:tcPr>
            <w:tcW w:type="dxa" w:w="964"/>
            <w:vAlign w:val="center"/>
          </w:tcPr>
          <w:p>
            <w:pPr>
              <w:spacing w:after="0"/>
              <w:jc w:val="left"/>
            </w:pPr>
            <w:r>
              <w:rPr>
                <w:rFonts w:ascii="Arial" w:hAnsi="Arial"/>
                <w:sz w:val="19"/>
              </w:rPr>
            </w:r>
            <w:r>
              <w:rPr>
                <w:rFonts w:ascii="Arial" w:hAnsi="Arial"/>
                <w:b w:val="0"/>
                <w:sz w:val="19"/>
              </w:rPr>
              <w:t>70</w:t>
            </w:r>
          </w:p>
        </w:tc>
        <w:tc>
          <w:tcPr>
            <w:tcW w:type="dxa" w:w="964"/>
            <w:vAlign w:val="center"/>
          </w:tcPr>
          <w:p>
            <w:pPr>
              <w:spacing w:after="0"/>
              <w:jc w:val="left"/>
            </w:pPr>
            <w:r>
              <w:rPr>
                <w:rFonts w:ascii="Arial" w:hAnsi="Arial"/>
                <w:sz w:val="19"/>
              </w:rPr>
            </w:r>
            <w:r>
              <w:rPr>
                <w:rFonts w:ascii="Arial" w:hAnsi="Arial"/>
                <w:b w:val="0"/>
                <w:sz w:val="19"/>
              </w:rPr>
              <w:t>35/35</w:t>
            </w:r>
          </w:p>
        </w:tc>
        <w:tc>
          <w:tcPr>
            <w:tcW w:type="dxa" w:w="1247"/>
            <w:vAlign w:val="center"/>
          </w:tcPr>
          <w:p>
            <w:pPr>
              <w:spacing w:after="0"/>
              <w:jc w:val="left"/>
            </w:pPr>
            <w:r>
              <w:rPr>
                <w:rFonts w:ascii="Arial" w:hAnsi="Arial"/>
                <w:sz w:val="19"/>
              </w:rPr>
            </w:r>
            <w:r>
              <w:rPr>
                <w:rFonts w:ascii="Arial" w:hAnsi="Arial"/>
                <w:b w:val="0"/>
                <w:sz w:val="19"/>
              </w:rPr>
              <w:t>50.00%</w:t>
            </w:r>
          </w:p>
        </w:tc>
        <w:tc>
          <w:tcPr>
            <w:tcW w:type="dxa" w:w="1247"/>
            <w:vAlign w:val="center"/>
          </w:tcPr>
          <w:p>
            <w:pPr>
              <w:spacing w:after="0"/>
              <w:jc w:val="left"/>
            </w:pPr>
            <w:r>
              <w:rPr>
                <w:rFonts w:ascii="Arial" w:hAnsi="Arial"/>
                <w:sz w:val="19"/>
              </w:rPr>
            </w:r>
            <w:r>
              <w:rPr>
                <w:rFonts w:ascii="Arial" w:hAnsi="Arial"/>
                <w:b w:val="0"/>
                <w:sz w:val="19"/>
              </w:rPr>
              <w:t>+48.88R</w:t>
            </w:r>
          </w:p>
        </w:tc>
        <w:tc>
          <w:tcPr>
            <w:tcW w:type="dxa" w:w="1247"/>
            <w:vAlign w:val="center"/>
          </w:tcPr>
          <w:p>
            <w:pPr>
              <w:spacing w:after="0"/>
              <w:jc w:val="left"/>
            </w:pPr>
            <w:r>
              <w:rPr>
                <w:rFonts w:ascii="Arial" w:hAnsi="Arial"/>
                <w:sz w:val="19"/>
              </w:rPr>
            </w:r>
            <w:r>
              <w:rPr>
                <w:rFonts w:ascii="Arial" w:hAnsi="Arial"/>
                <w:b w:val="0"/>
                <w:sz w:val="19"/>
              </w:rPr>
              <w:t>+0.70R</w:t>
            </w:r>
          </w:p>
        </w:tc>
      </w:tr>
      <w:tr>
        <w:tc>
          <w:tcPr>
            <w:tcW w:type="dxa" w:w="1020"/>
            <w:vAlign w:val="center"/>
          </w:tcPr>
          <w:p>
            <w:pPr>
              <w:spacing w:after="0"/>
              <w:jc w:val="left"/>
            </w:pPr>
            <w:r>
              <w:rPr>
                <w:rFonts w:ascii="Arial" w:hAnsi="Arial"/>
                <w:sz w:val="19"/>
              </w:rPr>
            </w:r>
            <w:r>
              <w:rPr>
                <w:rFonts w:ascii="Arial" w:hAnsi="Arial"/>
                <w:b w:val="0"/>
                <w:sz w:val="19"/>
              </w:rPr>
              <w:t>SUI</w:t>
            </w:r>
          </w:p>
        </w:tc>
        <w:tc>
          <w:tcPr>
            <w:tcW w:type="dxa" w:w="964"/>
            <w:vAlign w:val="center"/>
          </w:tcPr>
          <w:p>
            <w:pPr>
              <w:spacing w:after="0"/>
              <w:jc w:val="left"/>
            </w:pPr>
            <w:r>
              <w:rPr>
                <w:rFonts w:ascii="Arial" w:hAnsi="Arial"/>
                <w:sz w:val="19"/>
              </w:rPr>
            </w:r>
            <w:r>
              <w:rPr>
                <w:rFonts w:ascii="Arial" w:hAnsi="Arial"/>
                <w:b w:val="0"/>
                <w:sz w:val="19"/>
              </w:rPr>
              <w:t>26</w:t>
            </w:r>
          </w:p>
        </w:tc>
        <w:tc>
          <w:tcPr>
            <w:tcW w:type="dxa" w:w="964"/>
            <w:vAlign w:val="center"/>
          </w:tcPr>
          <w:p>
            <w:pPr>
              <w:spacing w:after="0"/>
              <w:jc w:val="left"/>
            </w:pPr>
            <w:r>
              <w:rPr>
                <w:rFonts w:ascii="Arial" w:hAnsi="Arial"/>
                <w:sz w:val="19"/>
              </w:rPr>
            </w:r>
            <w:r>
              <w:rPr>
                <w:rFonts w:ascii="Arial" w:hAnsi="Arial"/>
                <w:b w:val="0"/>
                <w:sz w:val="19"/>
              </w:rPr>
              <w:t>12/14</w:t>
            </w:r>
          </w:p>
        </w:tc>
        <w:tc>
          <w:tcPr>
            <w:tcW w:type="dxa" w:w="1247"/>
            <w:vAlign w:val="center"/>
          </w:tcPr>
          <w:p>
            <w:pPr>
              <w:spacing w:after="0"/>
              <w:jc w:val="left"/>
            </w:pPr>
            <w:r>
              <w:rPr>
                <w:rFonts w:ascii="Arial" w:hAnsi="Arial"/>
                <w:sz w:val="19"/>
              </w:rPr>
            </w:r>
            <w:r>
              <w:rPr>
                <w:rFonts w:ascii="Arial" w:hAnsi="Arial"/>
                <w:b w:val="0"/>
                <w:sz w:val="19"/>
              </w:rPr>
              <w:t>46.15%</w:t>
            </w:r>
          </w:p>
        </w:tc>
        <w:tc>
          <w:tcPr>
            <w:tcW w:type="dxa" w:w="1247"/>
            <w:vAlign w:val="center"/>
          </w:tcPr>
          <w:p>
            <w:pPr>
              <w:spacing w:after="0"/>
              <w:jc w:val="left"/>
            </w:pPr>
            <w:r>
              <w:rPr>
                <w:rFonts w:ascii="Arial" w:hAnsi="Arial"/>
                <w:sz w:val="19"/>
              </w:rPr>
            </w:r>
            <w:r>
              <w:rPr>
                <w:rFonts w:ascii="Arial" w:hAnsi="Arial"/>
                <w:b w:val="0"/>
                <w:sz w:val="19"/>
              </w:rPr>
              <w:t>+15.08R</w:t>
            </w:r>
          </w:p>
        </w:tc>
        <w:tc>
          <w:tcPr>
            <w:tcW w:type="dxa" w:w="1247"/>
            <w:vAlign w:val="center"/>
          </w:tcPr>
          <w:p>
            <w:pPr>
              <w:spacing w:after="0"/>
              <w:jc w:val="left"/>
            </w:pPr>
            <w:r>
              <w:rPr>
                <w:rFonts w:ascii="Arial" w:hAnsi="Arial"/>
                <w:sz w:val="19"/>
              </w:rPr>
            </w:r>
            <w:r>
              <w:rPr>
                <w:rFonts w:ascii="Arial" w:hAnsi="Arial"/>
                <w:b w:val="0"/>
                <w:sz w:val="19"/>
              </w:rPr>
              <w:t>+0.58R</w:t>
            </w:r>
          </w:p>
        </w:tc>
      </w:tr>
    </w:tbl>
    <w:p>
      <w:pPr>
        <w:spacing w:after="40"/>
      </w:pPr>
    </w:p>
    <w:p>
      <w:pPr>
        <w:pStyle w:val="Heading1"/>
      </w:pPr>
      <w:r>
        <w:rPr>
          <w:rFonts w:ascii="Arial" w:hAnsi="Arial"/>
          <w:color w:val="111827"/>
        </w:rPr>
        <w:t>Lý do nâng version</w:t>
      </w:r>
    </w:p>
    <w:p>
      <w:pPr>
        <w:pStyle w:val="ListBullet"/>
        <w:spacing w:after="80"/>
        <w:ind w:left="369" w:hanging="142"/>
      </w:pPr>
      <w:r>
        <w:rPr>
          <w:rFonts w:ascii="Arial" w:hAnsi="Arial"/>
          <w:sz w:val="21"/>
        </w:rPr>
        <w:t>TP1/TP2 gốc của v2.3 chốt 50% tại 1.5 ATR và 50% còn lại tại 2.5 ATR. Grid test cho thấy chốt sớm tại 1.5 ATR làm giảm expectancy.</w:t>
      </w:r>
    </w:p>
    <w:p>
      <w:pPr>
        <w:pStyle w:val="ListBullet"/>
        <w:spacing w:after="80"/>
        <w:ind w:left="369" w:hanging="142"/>
      </w:pPr>
      <w:r>
        <w:rPr>
          <w:rFonts w:ascii="Arial" w:hAnsi="Arial"/>
          <w:sz w:val="21"/>
        </w:rPr>
        <w:t>Khi quét TP1 từ 1.5 đến 2.5 ATR, mức 2.5 ATR cho Total R cao nhất trong mẫu 3 năm.</w:t>
      </w:r>
    </w:p>
    <w:p>
      <w:pPr>
        <w:pStyle w:val="ListBullet"/>
        <w:spacing w:after="80"/>
        <w:ind w:left="369" w:hanging="142"/>
      </w:pPr>
      <w:r>
        <w:rPr>
          <w:rFonts w:ascii="Arial" w:hAnsi="Arial"/>
          <w:sz w:val="21"/>
        </w:rPr>
        <w:t>Khi cố định TP1 2.5 ATR và quét TP2 lớn hơn, TP2 gần nhất 2.6 ATR là tốt nhất nhưng vẫn thấp hơn phương án chốt toàn bộ tại 2.5 ATR.</w:t>
      </w:r>
    </w:p>
    <w:p>
      <w:pPr>
        <w:pStyle w:val="ListBullet"/>
        <w:spacing w:after="80"/>
        <w:ind w:left="369" w:hanging="142"/>
      </w:pPr>
      <w:r>
        <w:rPr>
          <w:rFonts w:ascii="Arial" w:hAnsi="Arial"/>
          <w:sz w:val="21"/>
        </w:rPr>
        <w:t>Pareto 80/20 runner chỉ nhỉnh hơn bản gốc nhưng kém xa exit cố định 2.5 ATR, nên không chọn làm rule chính.</w:t>
      </w:r>
    </w:p>
    <w:p>
      <w:pPr>
        <w:pStyle w:val="Heading1"/>
      </w:pPr>
      <w:r>
        <w:rPr>
          <w:rFonts w:ascii="Arial" w:hAnsi="Arial"/>
          <w:color w:val="111827"/>
        </w:rPr>
        <w:t>Data coverage</w:t>
      </w:r>
    </w:p>
    <w:tbl>
      <w:tblPr>
        <w:tblStyle w:val="TableGrid"/>
        <w:tblW w:type="auto" w:w="0"/>
        <w:jc w:val="left"/>
        <w:tblLayout w:type="fixed"/>
        <w:tblLook w:firstColumn="1" w:firstRow="1" w:lastColumn="0" w:lastRow="0" w:noHBand="0" w:noVBand="1" w:val="04A0"/>
      </w:tblPr>
      <w:tblGrid>
        <w:gridCol w:w="1994"/>
        <w:gridCol w:w="1994"/>
        <w:gridCol w:w="1994"/>
        <w:gridCol w:w="1994"/>
        <w:gridCol w:w="1994"/>
      </w:tblGrid>
      <w:tr>
        <w:tc>
          <w:tcPr>
            <w:tcW w:type="dxa" w:w="1020"/>
            <w:vAlign w:val="center"/>
            <w:shd w:fill="EAF0F6"/>
          </w:tcPr>
          <w:p>
            <w:pPr>
              <w:spacing w:after="0"/>
              <w:jc w:val="left"/>
            </w:pPr>
            <w:r>
              <w:rPr>
                <w:rFonts w:ascii="Arial" w:hAnsi="Arial"/>
                <w:b/>
                <w:color w:val="1F2937"/>
                <w:sz w:val="19"/>
              </w:rPr>
            </w:r>
            <w:r>
              <w:rPr>
                <w:rFonts w:ascii="Arial" w:hAnsi="Arial"/>
                <w:b/>
                <w:color w:val="1F2937"/>
                <w:sz w:val="19"/>
              </w:rPr>
              <w:t>Coin</w:t>
            </w:r>
          </w:p>
        </w:tc>
        <w:tc>
          <w:tcPr>
            <w:tcW w:type="dxa" w:w="1361"/>
            <w:vAlign w:val="center"/>
            <w:shd w:fill="EAF0F6"/>
          </w:tcPr>
          <w:p>
            <w:pPr>
              <w:spacing w:after="0"/>
              <w:jc w:val="left"/>
            </w:pPr>
            <w:r>
              <w:rPr>
                <w:rFonts w:ascii="Arial" w:hAnsi="Arial"/>
                <w:b/>
                <w:color w:val="1F2937"/>
                <w:sz w:val="19"/>
              </w:rPr>
            </w:r>
            <w:r>
              <w:rPr>
                <w:rFonts w:ascii="Arial" w:hAnsi="Arial"/>
                <w:b/>
                <w:color w:val="1F2937"/>
                <w:sz w:val="19"/>
              </w:rPr>
              <w:t>Daily candles</w:t>
            </w:r>
          </w:p>
        </w:tc>
        <w:tc>
          <w:tcPr>
            <w:tcW w:type="dxa" w:w="1361"/>
            <w:vAlign w:val="center"/>
            <w:shd w:fill="EAF0F6"/>
          </w:tcPr>
          <w:p>
            <w:pPr>
              <w:spacing w:after="0"/>
              <w:jc w:val="left"/>
            </w:pPr>
            <w:r>
              <w:rPr>
                <w:rFonts w:ascii="Arial" w:hAnsi="Arial"/>
                <w:b/>
                <w:color w:val="1F2937"/>
                <w:sz w:val="19"/>
              </w:rPr>
            </w:r>
            <w:r>
              <w:rPr>
                <w:rFonts w:ascii="Arial" w:hAnsi="Arial"/>
                <w:b/>
                <w:color w:val="1F2937"/>
                <w:sz w:val="19"/>
              </w:rPr>
              <w:t>First daily</w:t>
            </w:r>
          </w:p>
        </w:tc>
        <w:tc>
          <w:tcPr>
            <w:tcW w:type="dxa" w:w="1361"/>
            <w:vAlign w:val="center"/>
            <w:shd w:fill="EAF0F6"/>
          </w:tcPr>
          <w:p>
            <w:pPr>
              <w:spacing w:after="0"/>
              <w:jc w:val="left"/>
            </w:pPr>
            <w:r>
              <w:rPr>
                <w:rFonts w:ascii="Arial" w:hAnsi="Arial"/>
                <w:b/>
                <w:color w:val="1F2937"/>
                <w:sz w:val="19"/>
              </w:rPr>
            </w:r>
            <w:r>
              <w:rPr>
                <w:rFonts w:ascii="Arial" w:hAnsi="Arial"/>
                <w:b/>
                <w:color w:val="1F2937"/>
                <w:sz w:val="19"/>
              </w:rPr>
              <w:t>Last daily</w:t>
            </w:r>
          </w:p>
        </w:tc>
        <w:tc>
          <w:tcPr>
            <w:tcW w:type="dxa" w:w="3969"/>
            <w:vAlign w:val="center"/>
            <w:shd w:fill="EAF0F6"/>
          </w:tcPr>
          <w:p>
            <w:pPr>
              <w:spacing w:after="0"/>
              <w:jc w:val="left"/>
            </w:pPr>
            <w:r>
              <w:rPr>
                <w:rFonts w:ascii="Arial" w:hAnsi="Arial"/>
                <w:b/>
                <w:color w:val="1F2937"/>
                <w:sz w:val="19"/>
              </w:rPr>
            </w:r>
            <w:r>
              <w:rPr>
                <w:rFonts w:ascii="Arial" w:hAnsi="Arial"/>
                <w:b/>
                <w:color w:val="1F2937"/>
                <w:sz w:val="19"/>
              </w:rPr>
              <w:t>Source</w:t>
            </w:r>
          </w:p>
        </w:tc>
      </w:tr>
      <w:tr>
        <w:tc>
          <w:tcPr>
            <w:tcW w:type="dxa" w:w="1020"/>
            <w:vAlign w:val="center"/>
          </w:tcPr>
          <w:p>
            <w:pPr>
              <w:spacing w:after="0"/>
              <w:jc w:val="left"/>
            </w:pPr>
            <w:r>
              <w:rPr>
                <w:rFonts w:ascii="Arial" w:hAnsi="Arial"/>
                <w:sz w:val="19"/>
              </w:rPr>
            </w:r>
            <w:r>
              <w:rPr>
                <w:rFonts w:ascii="Arial" w:hAnsi="Arial"/>
                <w:b w:val="0"/>
                <w:sz w:val="19"/>
              </w:rPr>
              <w:t>BTC</w:t>
            </w:r>
          </w:p>
        </w:tc>
        <w:tc>
          <w:tcPr>
            <w:tcW w:type="dxa" w:w="1361"/>
            <w:vAlign w:val="center"/>
          </w:tcPr>
          <w:p>
            <w:pPr>
              <w:spacing w:after="0"/>
              <w:jc w:val="left"/>
            </w:pPr>
            <w:r>
              <w:rPr>
                <w:rFonts w:ascii="Arial" w:hAnsi="Arial"/>
                <w:sz w:val="19"/>
              </w:rPr>
            </w:r>
            <w:r>
              <w:rPr>
                <w:rFonts w:ascii="Arial" w:hAnsi="Arial"/>
                <w:b w:val="0"/>
                <w:sz w:val="19"/>
              </w:rPr>
              <w:t>2390</w:t>
            </w:r>
          </w:p>
        </w:tc>
        <w:tc>
          <w:tcPr>
            <w:tcW w:type="dxa" w:w="1361"/>
            <w:vAlign w:val="center"/>
          </w:tcPr>
          <w:p>
            <w:pPr>
              <w:spacing w:after="0"/>
              <w:jc w:val="left"/>
            </w:pPr>
            <w:r>
              <w:rPr>
                <w:rFonts w:ascii="Arial" w:hAnsi="Arial"/>
                <w:sz w:val="19"/>
              </w:rPr>
            </w:r>
            <w:r>
              <w:rPr>
                <w:rFonts w:ascii="Arial" w:hAnsi="Arial"/>
                <w:b w:val="0"/>
                <w:sz w:val="19"/>
              </w:rPr>
              <w:t>2019-11-01</w:t>
            </w:r>
          </w:p>
        </w:tc>
        <w:tc>
          <w:tcPr>
            <w:tcW w:type="dxa" w:w="1361"/>
            <w:vAlign w:val="center"/>
          </w:tcPr>
          <w:p>
            <w:pPr>
              <w:spacing w:after="0"/>
              <w:jc w:val="left"/>
            </w:pPr>
            <w:r>
              <w:rPr>
                <w:rFonts w:ascii="Arial" w:hAnsi="Arial"/>
                <w:sz w:val="19"/>
              </w:rPr>
            </w:r>
            <w:r>
              <w:rPr>
                <w:rFonts w:ascii="Arial" w:hAnsi="Arial"/>
                <w:b w:val="0"/>
                <w:sz w:val="19"/>
              </w:rPr>
              <w:t>2026-05-17</w:t>
            </w:r>
          </w:p>
        </w:tc>
        <w:tc>
          <w:tcPr>
            <w:tcW w:type="dxa" w:w="3969"/>
            <w:vAlign w:val="center"/>
          </w:tcPr>
          <w:p>
            <w:pPr>
              <w:spacing w:after="0"/>
              <w:jc w:val="left"/>
            </w:pPr>
            <w:r>
              <w:rPr>
                <w:rFonts w:ascii="Arial" w:hAnsi="Arial"/>
                <w:sz w:val="19"/>
              </w:rPr>
            </w:r>
            <w:r>
              <w:rPr>
                <w:rFonts w:ascii="Arial" w:hAnsi="Arial"/>
                <w:b w:val="0"/>
                <w:sz w:val="19"/>
              </w:rPr>
              <w:t>Binance spot daily klines API</w:t>
            </w:r>
          </w:p>
        </w:tc>
      </w:tr>
      <w:tr>
        <w:tc>
          <w:tcPr>
            <w:tcW w:type="dxa" w:w="1020"/>
            <w:vAlign w:val="center"/>
          </w:tcPr>
          <w:p>
            <w:pPr>
              <w:spacing w:after="0"/>
              <w:jc w:val="left"/>
            </w:pPr>
            <w:r>
              <w:rPr>
                <w:rFonts w:ascii="Arial" w:hAnsi="Arial"/>
                <w:sz w:val="19"/>
              </w:rPr>
            </w:r>
            <w:r>
              <w:rPr>
                <w:rFonts w:ascii="Arial" w:hAnsi="Arial"/>
                <w:b w:val="0"/>
                <w:sz w:val="19"/>
              </w:rPr>
              <w:t>SOL</w:t>
            </w:r>
          </w:p>
        </w:tc>
        <w:tc>
          <w:tcPr>
            <w:tcW w:type="dxa" w:w="1361"/>
            <w:vAlign w:val="center"/>
          </w:tcPr>
          <w:p>
            <w:pPr>
              <w:spacing w:after="0"/>
              <w:jc w:val="left"/>
            </w:pPr>
            <w:r>
              <w:rPr>
                <w:rFonts w:ascii="Arial" w:hAnsi="Arial"/>
                <w:sz w:val="19"/>
              </w:rPr>
            </w:r>
            <w:r>
              <w:rPr>
                <w:rFonts w:ascii="Arial" w:hAnsi="Arial"/>
                <w:b w:val="0"/>
                <w:sz w:val="19"/>
              </w:rPr>
              <w:t>2106</w:t>
            </w:r>
          </w:p>
        </w:tc>
        <w:tc>
          <w:tcPr>
            <w:tcW w:type="dxa" w:w="1361"/>
            <w:vAlign w:val="center"/>
          </w:tcPr>
          <w:p>
            <w:pPr>
              <w:spacing w:after="0"/>
              <w:jc w:val="left"/>
            </w:pPr>
            <w:r>
              <w:rPr>
                <w:rFonts w:ascii="Arial" w:hAnsi="Arial"/>
                <w:sz w:val="19"/>
              </w:rPr>
            </w:r>
            <w:r>
              <w:rPr>
                <w:rFonts w:ascii="Arial" w:hAnsi="Arial"/>
                <w:b w:val="0"/>
                <w:sz w:val="19"/>
              </w:rPr>
              <w:t>2020-08-11</w:t>
            </w:r>
          </w:p>
        </w:tc>
        <w:tc>
          <w:tcPr>
            <w:tcW w:type="dxa" w:w="1361"/>
            <w:vAlign w:val="center"/>
          </w:tcPr>
          <w:p>
            <w:pPr>
              <w:spacing w:after="0"/>
              <w:jc w:val="left"/>
            </w:pPr>
            <w:r>
              <w:rPr>
                <w:rFonts w:ascii="Arial" w:hAnsi="Arial"/>
                <w:sz w:val="19"/>
              </w:rPr>
            </w:r>
            <w:r>
              <w:rPr>
                <w:rFonts w:ascii="Arial" w:hAnsi="Arial"/>
                <w:b w:val="0"/>
                <w:sz w:val="19"/>
              </w:rPr>
              <w:t>2026-05-17</w:t>
            </w:r>
          </w:p>
        </w:tc>
        <w:tc>
          <w:tcPr>
            <w:tcW w:type="dxa" w:w="3969"/>
            <w:vAlign w:val="center"/>
          </w:tcPr>
          <w:p>
            <w:pPr>
              <w:spacing w:after="0"/>
              <w:jc w:val="left"/>
            </w:pPr>
            <w:r>
              <w:rPr>
                <w:rFonts w:ascii="Arial" w:hAnsi="Arial"/>
                <w:sz w:val="19"/>
              </w:rPr>
            </w:r>
            <w:r>
              <w:rPr>
                <w:rFonts w:ascii="Arial" w:hAnsi="Arial"/>
                <w:b w:val="0"/>
                <w:sz w:val="19"/>
              </w:rPr>
              <w:t>Binance spot daily klines API</w:t>
            </w:r>
          </w:p>
        </w:tc>
      </w:tr>
      <w:tr>
        <w:tc>
          <w:tcPr>
            <w:tcW w:type="dxa" w:w="1020"/>
            <w:vAlign w:val="center"/>
          </w:tcPr>
          <w:p>
            <w:pPr>
              <w:spacing w:after="0"/>
              <w:jc w:val="left"/>
            </w:pPr>
            <w:r>
              <w:rPr>
                <w:rFonts w:ascii="Arial" w:hAnsi="Arial"/>
                <w:sz w:val="19"/>
              </w:rPr>
            </w:r>
            <w:r>
              <w:rPr>
                <w:rFonts w:ascii="Arial" w:hAnsi="Arial"/>
                <w:b w:val="0"/>
                <w:sz w:val="19"/>
              </w:rPr>
              <w:t>SUI</w:t>
            </w:r>
          </w:p>
        </w:tc>
        <w:tc>
          <w:tcPr>
            <w:tcW w:type="dxa" w:w="1361"/>
            <w:vAlign w:val="center"/>
          </w:tcPr>
          <w:p>
            <w:pPr>
              <w:spacing w:after="0"/>
              <w:jc w:val="left"/>
            </w:pPr>
            <w:r>
              <w:rPr>
                <w:rFonts w:ascii="Arial" w:hAnsi="Arial"/>
                <w:sz w:val="19"/>
              </w:rPr>
            </w:r>
            <w:r>
              <w:rPr>
                <w:rFonts w:ascii="Arial" w:hAnsi="Arial"/>
                <w:b w:val="0"/>
                <w:sz w:val="19"/>
              </w:rPr>
              <w:t>1111</w:t>
            </w:r>
          </w:p>
        </w:tc>
        <w:tc>
          <w:tcPr>
            <w:tcW w:type="dxa" w:w="1361"/>
            <w:vAlign w:val="center"/>
          </w:tcPr>
          <w:p>
            <w:pPr>
              <w:spacing w:after="0"/>
              <w:jc w:val="left"/>
            </w:pPr>
            <w:r>
              <w:rPr>
                <w:rFonts w:ascii="Arial" w:hAnsi="Arial"/>
                <w:sz w:val="19"/>
              </w:rPr>
            </w:r>
            <w:r>
              <w:rPr>
                <w:rFonts w:ascii="Arial" w:hAnsi="Arial"/>
                <w:b w:val="0"/>
                <w:sz w:val="19"/>
              </w:rPr>
              <w:t>2023-05-03</w:t>
            </w:r>
          </w:p>
        </w:tc>
        <w:tc>
          <w:tcPr>
            <w:tcW w:type="dxa" w:w="1361"/>
            <w:vAlign w:val="center"/>
          </w:tcPr>
          <w:p>
            <w:pPr>
              <w:spacing w:after="0"/>
              <w:jc w:val="left"/>
            </w:pPr>
            <w:r>
              <w:rPr>
                <w:rFonts w:ascii="Arial" w:hAnsi="Arial"/>
                <w:sz w:val="19"/>
              </w:rPr>
            </w:r>
            <w:r>
              <w:rPr>
                <w:rFonts w:ascii="Arial" w:hAnsi="Arial"/>
                <w:b w:val="0"/>
                <w:sz w:val="19"/>
              </w:rPr>
              <w:t>2026-05-17</w:t>
            </w:r>
          </w:p>
        </w:tc>
        <w:tc>
          <w:tcPr>
            <w:tcW w:type="dxa" w:w="3969"/>
            <w:vAlign w:val="center"/>
          </w:tcPr>
          <w:p>
            <w:pPr>
              <w:spacing w:after="0"/>
              <w:jc w:val="left"/>
            </w:pPr>
            <w:r>
              <w:rPr>
                <w:rFonts w:ascii="Arial" w:hAnsi="Arial"/>
                <w:sz w:val="19"/>
              </w:rPr>
            </w:r>
            <w:r>
              <w:rPr>
                <w:rFonts w:ascii="Arial" w:hAnsi="Arial"/>
                <w:b w:val="0"/>
                <w:sz w:val="19"/>
              </w:rPr>
              <w:t>Binance spot daily klines API</w:t>
            </w:r>
          </w:p>
        </w:tc>
      </w:tr>
    </w:tbl>
    <w:p>
      <w:pPr>
        <w:spacing w:after="40"/>
      </w:pPr>
    </w:p>
    <w:p>
      <w:pPr>
        <w:pStyle w:val="Heading1"/>
      </w:pPr>
      <w:r>
        <w:rPr>
          <w:rFonts w:ascii="Arial" w:hAnsi="Arial"/>
          <w:color w:val="111827"/>
        </w:rPr>
        <w:t>Ghi chú triển khai</w:t>
      </w:r>
    </w:p>
    <w:p>
      <w:pPr>
        <w:pStyle w:val="ListBullet"/>
        <w:spacing w:after="80"/>
        <w:ind w:left="369" w:hanging="142"/>
      </w:pPr>
      <w:r>
        <w:rPr>
          <w:rFonts w:ascii="Arial" w:hAnsi="Arial"/>
          <w:sz w:val="21"/>
        </w:rPr>
        <w:t>Backtest tính theo R và đã trừ fee/slippage, nhưng chưa tính funding, borrow cost, thuế, liquidation, minimum order, hoặc lỗi khớp lệnh khi live.</w:t>
      </w:r>
    </w:p>
    <w:p>
      <w:pPr>
        <w:pStyle w:val="ListBullet"/>
        <w:spacing w:after="80"/>
        <w:ind w:left="369" w:hanging="142"/>
      </w:pPr>
      <w:r>
        <w:rPr>
          <w:rFonts w:ascii="Arial" w:hAnsi="Arial"/>
          <w:sz w:val="21"/>
        </w:rPr>
        <w:t>Nếu risk 2% mỗi lệnh, cần thêm giới hạn tổng risk đang mở. Trong lịch sử 6 năm có 200 ngày có từ 2 coin trở lên đang mở cùng lúc, và 33 ngày có đủ 3 coin.</w:t>
      </w:r>
    </w:p>
    <w:p>
      <w:pPr>
        <w:pStyle w:val="ListBullet"/>
        <w:spacing w:after="80"/>
        <w:ind w:left="369" w:hanging="142"/>
      </w:pPr>
      <w:r>
        <w:rPr>
          <w:rFonts w:ascii="Arial" w:hAnsi="Arial"/>
          <w:sz w:val="21"/>
        </w:rPr>
        <w:t>Khuyến nghị thực chiến: mỗi lệnh tối đa 2% risk, tổng risk đang mở tối đa 4-6% tùy mức chịu drawdown.</w:t>
      </w:r>
    </w:p>
    <w:p>
      <w:pPr>
        <w:pStyle w:val="Heading1"/>
      </w:pPr>
      <w:r>
        <w:rPr>
          <w:rFonts w:ascii="Arial" w:hAnsi="Arial"/>
          <w:color w:val="111827"/>
        </w:rPr>
        <w:t>Artifacts</w:t>
      </w:r>
    </w:p>
    <w:tbl>
      <w:tblPr>
        <w:tblStyle w:val="TableGrid"/>
        <w:tblW w:type="auto" w:w="0"/>
        <w:jc w:val="left"/>
        <w:tblLayout w:type="fixed"/>
        <w:tblLook w:firstColumn="1" w:firstRow="1" w:lastColumn="0" w:lastRow="0" w:noHBand="0" w:noVBand="1" w:val="04A0"/>
      </w:tblPr>
      <w:tblGrid>
        <w:gridCol w:w="4986"/>
        <w:gridCol w:w="4986"/>
      </w:tblGrid>
      <w:tr>
        <w:tc>
          <w:tcPr>
            <w:tcW w:type="dxa" w:w="2268"/>
            <w:vAlign w:val="center"/>
            <w:shd w:fill="EAF0F6"/>
          </w:tcPr>
          <w:p>
            <w:pPr>
              <w:spacing w:after="0"/>
              <w:jc w:val="left"/>
            </w:pPr>
            <w:r>
              <w:rPr>
                <w:rFonts w:ascii="Arial" w:hAnsi="Arial"/>
                <w:b/>
                <w:color w:val="1F2937"/>
                <w:sz w:val="19"/>
              </w:rPr>
            </w:r>
            <w:r>
              <w:rPr>
                <w:rFonts w:ascii="Arial" w:hAnsi="Arial"/>
                <w:b/>
                <w:color w:val="1F2937"/>
                <w:sz w:val="19"/>
              </w:rPr>
              <w:t>Artifact</w:t>
            </w:r>
          </w:p>
        </w:tc>
        <w:tc>
          <w:tcPr>
            <w:tcW w:type="dxa" w:w="6803"/>
            <w:vAlign w:val="center"/>
            <w:shd w:fill="EAF0F6"/>
          </w:tcPr>
          <w:p>
            <w:pPr>
              <w:spacing w:after="0"/>
              <w:jc w:val="left"/>
            </w:pPr>
            <w:r>
              <w:rPr>
                <w:rFonts w:ascii="Arial" w:hAnsi="Arial"/>
                <w:b/>
                <w:color w:val="1F2937"/>
                <w:sz w:val="19"/>
              </w:rPr>
            </w:r>
            <w:r>
              <w:rPr>
                <w:rFonts w:ascii="Arial" w:hAnsi="Arial"/>
                <w:b/>
                <w:color w:val="1F2937"/>
                <w:sz w:val="19"/>
              </w:rPr>
              <w:t>Đường dẫn</w:t>
            </w:r>
          </w:p>
        </w:tc>
      </w:tr>
      <w:tr>
        <w:tc>
          <w:tcPr>
            <w:tcW w:type="dxa" w:w="2268"/>
            <w:vAlign w:val="center"/>
          </w:tcPr>
          <w:p>
            <w:pPr>
              <w:spacing w:after="0"/>
              <w:jc w:val="left"/>
            </w:pPr>
            <w:r>
              <w:rPr>
                <w:rFonts w:ascii="Arial" w:hAnsi="Arial"/>
                <w:sz w:val="19"/>
              </w:rPr>
            </w:r>
            <w:r>
              <w:rPr>
                <w:rFonts w:ascii="Arial" w:hAnsi="Arial"/>
                <w:b w:val="0"/>
                <w:sz w:val="19"/>
              </w:rPr>
              <w:t>Workbook v3.0</w:t>
            </w:r>
          </w:p>
        </w:tc>
        <w:tc>
          <w:tcPr>
            <w:tcW w:type="dxa" w:w="6803"/>
            <w:vAlign w:val="center"/>
          </w:tcPr>
          <w:p>
            <w:pPr>
              <w:spacing w:after="0"/>
              <w:jc w:val="left"/>
            </w:pPr>
            <w:r>
              <w:rPr>
                <w:rFonts w:ascii="Arial" w:hAnsi="Arial"/>
                <w:sz w:val="19"/>
              </w:rPr>
            </w:r>
            <w:r>
              <w:rPr>
                <w:rFonts w:ascii="Arial" w:hAnsi="Arial"/>
                <w:b w:val="0"/>
                <w:sz w:val="19"/>
              </w:rPr>
              <w:t>D:\Workspace\Codex\Crypto trading\outputs\nxt_crypto_btc_sol_sui_6y_v30_close_25\NXT_V30_Close_25_ATR_6Y_BTC_SOL_SUI.xlsx</w:t>
            </w:r>
          </w:p>
        </w:tc>
      </w:tr>
      <w:tr>
        <w:tc>
          <w:tcPr>
            <w:tcW w:type="dxa" w:w="2268"/>
            <w:vAlign w:val="center"/>
          </w:tcPr>
          <w:p>
            <w:pPr>
              <w:spacing w:after="0"/>
              <w:jc w:val="left"/>
            </w:pPr>
            <w:r>
              <w:rPr>
                <w:rFonts w:ascii="Arial" w:hAnsi="Arial"/>
                <w:sz w:val="19"/>
              </w:rPr>
            </w:r>
            <w:r>
              <w:rPr>
                <w:rFonts w:ascii="Arial" w:hAnsi="Arial"/>
                <w:b w:val="0"/>
                <w:sz w:val="19"/>
              </w:rPr>
              <w:t>JSON v3.0</w:t>
            </w:r>
          </w:p>
        </w:tc>
        <w:tc>
          <w:tcPr>
            <w:tcW w:type="dxa" w:w="6803"/>
            <w:vAlign w:val="center"/>
          </w:tcPr>
          <w:p>
            <w:pPr>
              <w:spacing w:after="0"/>
              <w:jc w:val="left"/>
            </w:pPr>
            <w:r>
              <w:rPr>
                <w:rFonts w:ascii="Arial" w:hAnsi="Arial"/>
                <w:sz w:val="19"/>
              </w:rPr>
            </w:r>
            <w:r>
              <w:rPr>
                <w:rFonts w:ascii="Arial" w:hAnsi="Arial"/>
                <w:b w:val="0"/>
                <w:sz w:val="19"/>
              </w:rPr>
              <w:t>D:\Workspace\Codex\Crypto trading\outputs\nxt_crypto_btc_sol_sui_6y_v30_close_25\nxt_v30_close_25_6y_results.json</w:t>
            </w:r>
          </w:p>
        </w:tc>
      </w:tr>
      <w:tr>
        <w:tc>
          <w:tcPr>
            <w:tcW w:type="dxa" w:w="2268"/>
            <w:vAlign w:val="center"/>
          </w:tcPr>
          <w:p>
            <w:pPr>
              <w:spacing w:after="0"/>
              <w:jc w:val="left"/>
            </w:pPr>
            <w:r>
              <w:rPr>
                <w:rFonts w:ascii="Arial" w:hAnsi="Arial"/>
                <w:sz w:val="19"/>
              </w:rPr>
            </w:r>
            <w:r>
              <w:rPr>
                <w:rFonts w:ascii="Arial" w:hAnsi="Arial"/>
                <w:b w:val="0"/>
                <w:sz w:val="19"/>
              </w:rPr>
              <w:t>Script 6Y close 2.5 ATR</w:t>
            </w:r>
          </w:p>
        </w:tc>
        <w:tc>
          <w:tcPr>
            <w:tcW w:type="dxa" w:w="6803"/>
            <w:vAlign w:val="center"/>
          </w:tcPr>
          <w:p>
            <w:pPr>
              <w:spacing w:after="0"/>
              <w:jc w:val="left"/>
            </w:pPr>
            <w:r>
              <w:rPr>
                <w:rFonts w:ascii="Arial" w:hAnsi="Arial"/>
                <w:sz w:val="19"/>
              </w:rPr>
            </w:r>
            <w:r>
              <w:rPr>
                <w:rFonts w:ascii="Arial" w:hAnsi="Arial"/>
                <w:b w:val="0"/>
                <w:sz w:val="19"/>
              </w:rPr>
              <w:t>D:\Workspace\Codex\Crypto trading\scripts\backtest_nxt_v23_close_25_6y.mjs</w:t>
            </w:r>
          </w:p>
        </w:tc>
      </w:tr>
    </w:tbl>
    <w:p>
      <w:pPr>
        <w:spacing w:after="40"/>
      </w:pP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7"/>
      </w:rPr>
      <w:t>NXT Trading System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