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p>
    <w:p>
      <w:pPr>
        <w:pStyle w:val="Title"/>
        <w:jc w:val="center"/>
      </w:pPr>
      <w:r>
        <w:rPr>
          <w:rFonts w:ascii="Aptos Display" w:hAnsi="Aptos Display"/>
          <w:b/>
          <w:i w:val="0"/>
          <w:color w:val="17365D"/>
          <w:sz w:val="48"/>
        </w:rPr>
        <w:t>HIGH LEVEL DESIGN</w:t>
      </w:r>
    </w:p>
    <w:p>
      <w:pPr>
        <w:pStyle w:val="Subtitle"/>
        <w:jc w:val="center"/>
      </w:pPr>
      <w:r>
        <w:rPr>
          <w:rFonts w:ascii="Aptos" w:hAnsi="Aptos"/>
          <w:b w:val="0"/>
          <w:i w:val="0"/>
          <w:color w:val="667085"/>
          <w:sz w:val="26"/>
        </w:rPr>
        <w:t>NXT Automated Signal and Trading System</w:t>
      </w:r>
    </w:p>
    <w:tbl>
      <w:tblPr>
        <w:tblStyle w:val="TableGrid"/>
        <w:tblW w:type="dxa" w:w="9360"/>
        <w:jc w:val="left"/>
        <w:tblLayout w:type="fixed"/>
        <w:tblLook w:firstColumn="1" w:firstRow="1" w:lastColumn="0" w:lastRow="0" w:noHBand="0" w:noVBand="1" w:val="04A0"/>
        <w:tblInd w:w="120" w:type="dxa"/>
      </w:tblPr>
      <w:tblGrid>
        <w:gridCol w:w="2200"/>
        <w:gridCol w:w="7160"/>
      </w:tblGrid>
      <w:tr>
        <w:trPr>
          <w:cantSplit/>
          <w:tblHeader w:val="true"/>
        </w:trPr>
        <w:tc>
          <w:tcPr>
            <w:tcW w:type="dxa" w:w="2200"/>
            <w:shd w:fill="EAF2F8"/>
            <w:tcMar>
              <w:top w:w="80" w:type="dxa"/>
              <w:start w:w="120" w:type="dxa"/>
              <w:bottom w:w="80" w:type="dxa"/>
              <w:end w:w="120" w:type="dxa"/>
            </w:tcMar>
            <w:vAlign w:val="center"/>
          </w:tcPr>
          <w:p>
            <w:pPr>
              <w:spacing w:after="0"/>
              <w:jc w:val="center"/>
            </w:pPr>
            <w:r>
              <w:rPr>
                <w:rFonts w:ascii="Aptos" w:hAnsi="Aptos"/>
                <w:b/>
                <w:i w:val="0"/>
                <w:color w:val="172B4D"/>
                <w:sz w:val="18"/>
              </w:rPr>
              <w:t>Thuộc tính</w:t>
            </w:r>
          </w:p>
        </w:tc>
        <w:tc>
          <w:tcPr>
            <w:tcW w:type="dxa" w:w="7160"/>
            <w:shd w:fill="EAF2F8"/>
            <w:tcMar>
              <w:top w:w="80" w:type="dxa"/>
              <w:start w:w="120" w:type="dxa"/>
              <w:bottom w:w="80" w:type="dxa"/>
              <w:end w:w="120" w:type="dxa"/>
            </w:tcMar>
            <w:vAlign w:val="center"/>
          </w:tcPr>
          <w:p>
            <w:pPr>
              <w:spacing w:after="0"/>
              <w:jc w:val="center"/>
            </w:pPr>
            <w:r>
              <w:rPr>
                <w:rFonts w:ascii="Aptos" w:hAnsi="Aptos"/>
                <w:b/>
                <w:i w:val="0"/>
                <w:color w:val="172B4D"/>
                <w:sz w:val="18"/>
              </w:rPr>
              <w:t>Giá trị</w:t>
            </w:r>
          </w:p>
        </w:tc>
      </w:tr>
      <w:tr>
        <w:trPr>
          <w:cantSplit/>
        </w:trPr>
        <w:tc>
          <w:tcPr>
            <w:tcW w:type="dxa" w:w="2200"/>
            <w:tcMar>
              <w:top w:w="80" w:type="dxa"/>
              <w:start w:w="120" w:type="dxa"/>
              <w:bottom w:w="80" w:type="dxa"/>
              <w:end w:w="120" w:type="dxa"/>
            </w:tcMar>
            <w:vAlign w:val="center"/>
          </w:tcPr>
          <w:p>
            <w:pPr>
              <w:spacing w:after="0"/>
              <w:jc w:val="center"/>
            </w:pPr>
            <w:r>
              <w:rPr>
                <w:rFonts w:ascii="Aptos" w:hAnsi="Aptos"/>
                <w:b w:val="0"/>
                <w:i w:val="0"/>
                <w:color w:val="172B4D"/>
                <w:sz w:val="18"/>
              </w:rPr>
              <w:t>Phiên bản</w:t>
            </w:r>
          </w:p>
        </w:tc>
        <w:tc>
          <w:tcPr>
            <w:tcW w:type="dxa" w:w="7160"/>
            <w:tcMar>
              <w:top w:w="80" w:type="dxa"/>
              <w:start w:w="120" w:type="dxa"/>
              <w:bottom w:w="80" w:type="dxa"/>
              <w:end w:w="120" w:type="dxa"/>
            </w:tcMar>
            <w:vAlign w:val="center"/>
          </w:tcPr>
          <w:p>
            <w:pPr>
              <w:spacing w:after="0"/>
              <w:jc w:val="left"/>
            </w:pPr>
            <w:r>
              <w:rPr>
                <w:rFonts w:ascii="Aptos" w:hAnsi="Aptos"/>
                <w:b w:val="0"/>
                <w:i w:val="0"/>
                <w:color w:val="172B4D"/>
                <w:sz w:val="18"/>
              </w:rPr>
              <w:t>v0.1 — Desktop-first architecture</w:t>
            </w:r>
          </w:p>
        </w:tc>
      </w:tr>
      <w:tr>
        <w:trPr>
          <w:cantSplit/>
        </w:trPr>
        <w:tc>
          <w:tcPr>
            <w:tcW w:type="dxa" w:w="2200"/>
            <w:tcMar>
              <w:top w:w="80" w:type="dxa"/>
              <w:start w:w="120" w:type="dxa"/>
              <w:bottom w:w="80" w:type="dxa"/>
              <w:end w:w="120" w:type="dxa"/>
            </w:tcMar>
            <w:vAlign w:val="center"/>
          </w:tcPr>
          <w:p>
            <w:pPr>
              <w:spacing w:after="0"/>
              <w:jc w:val="center"/>
            </w:pPr>
            <w:r>
              <w:rPr>
                <w:rFonts w:ascii="Aptos" w:hAnsi="Aptos"/>
                <w:b w:val="0"/>
                <w:i w:val="0"/>
                <w:color w:val="172B4D"/>
                <w:sz w:val="18"/>
              </w:rPr>
              <w:t>Ngày</w:t>
            </w:r>
          </w:p>
        </w:tc>
        <w:tc>
          <w:tcPr>
            <w:tcW w:type="dxa" w:w="7160"/>
            <w:tcMar>
              <w:top w:w="80" w:type="dxa"/>
              <w:start w:w="120" w:type="dxa"/>
              <w:bottom w:w="80" w:type="dxa"/>
              <w:end w:w="120" w:type="dxa"/>
            </w:tcMar>
            <w:vAlign w:val="center"/>
          </w:tcPr>
          <w:p>
            <w:pPr>
              <w:spacing w:after="0"/>
              <w:jc w:val="left"/>
            </w:pPr>
            <w:r>
              <w:rPr>
                <w:rFonts w:ascii="Aptos" w:hAnsi="Aptos"/>
                <w:b w:val="0"/>
                <w:i w:val="0"/>
                <w:color w:val="172B4D"/>
                <w:sz w:val="18"/>
              </w:rPr>
              <w:t>15/07/2026</w:t>
            </w:r>
          </w:p>
        </w:tc>
      </w:tr>
      <w:tr>
        <w:trPr>
          <w:cantSplit/>
        </w:trPr>
        <w:tc>
          <w:tcPr>
            <w:tcW w:type="dxa" w:w="2200"/>
            <w:tcMar>
              <w:top w:w="80" w:type="dxa"/>
              <w:start w:w="120" w:type="dxa"/>
              <w:bottom w:w="80" w:type="dxa"/>
              <w:end w:w="120" w:type="dxa"/>
            </w:tcMar>
            <w:vAlign w:val="center"/>
          </w:tcPr>
          <w:p>
            <w:pPr>
              <w:spacing w:after="0"/>
              <w:jc w:val="center"/>
            </w:pPr>
            <w:r>
              <w:rPr>
                <w:rFonts w:ascii="Aptos" w:hAnsi="Aptos"/>
                <w:b w:val="0"/>
                <w:i w:val="0"/>
                <w:color w:val="172B4D"/>
                <w:sz w:val="18"/>
              </w:rPr>
              <w:t>Nguồn yêu cầu</w:t>
            </w:r>
          </w:p>
        </w:tc>
        <w:tc>
          <w:tcPr>
            <w:tcW w:type="dxa" w:w="7160"/>
            <w:tcMar>
              <w:top w:w="80" w:type="dxa"/>
              <w:start w:w="120" w:type="dxa"/>
              <w:bottom w:w="80" w:type="dxa"/>
              <w:end w:w="120" w:type="dxa"/>
            </w:tcMar>
            <w:vAlign w:val="center"/>
          </w:tcPr>
          <w:p>
            <w:pPr>
              <w:spacing w:after="0"/>
              <w:jc w:val="left"/>
            </w:pPr>
            <w:r>
              <w:rPr>
                <w:rFonts w:ascii="Aptos" w:hAnsi="Aptos"/>
                <w:b w:val="0"/>
                <w:i w:val="0"/>
                <w:color w:val="172B4D"/>
                <w:sz w:val="18"/>
              </w:rPr>
              <w:t>BRD NXT Automated Signal and Trading System v0.2</w:t>
            </w:r>
          </w:p>
        </w:tc>
      </w:tr>
      <w:tr>
        <w:trPr>
          <w:cantSplit/>
        </w:trPr>
        <w:tc>
          <w:tcPr>
            <w:tcW w:type="dxa" w:w="2200"/>
            <w:tcMar>
              <w:top w:w="80" w:type="dxa"/>
              <w:start w:w="120" w:type="dxa"/>
              <w:bottom w:w="80" w:type="dxa"/>
              <w:end w:w="120" w:type="dxa"/>
            </w:tcMar>
            <w:vAlign w:val="center"/>
          </w:tcPr>
          <w:p>
            <w:pPr>
              <w:spacing w:after="0"/>
              <w:jc w:val="center"/>
            </w:pPr>
            <w:r>
              <w:rPr>
                <w:rFonts w:ascii="Aptos" w:hAnsi="Aptos"/>
                <w:b w:val="0"/>
                <w:i w:val="0"/>
                <w:color w:val="172B4D"/>
                <w:sz w:val="18"/>
              </w:rPr>
              <w:t>Strategy baseline</w:t>
            </w:r>
          </w:p>
        </w:tc>
        <w:tc>
          <w:tcPr>
            <w:tcW w:type="dxa" w:w="7160"/>
            <w:tcMar>
              <w:top w:w="80" w:type="dxa"/>
              <w:start w:w="120" w:type="dxa"/>
              <w:bottom w:w="80" w:type="dxa"/>
              <w:end w:w="120" w:type="dxa"/>
            </w:tcMar>
            <w:vAlign w:val="center"/>
          </w:tcPr>
          <w:p>
            <w:pPr>
              <w:spacing w:after="0"/>
              <w:jc w:val="left"/>
            </w:pPr>
            <w:r>
              <w:rPr>
                <w:rFonts w:ascii="Aptos" w:hAnsi="Aptos"/>
                <w:b w:val="0"/>
                <w:i w:val="0"/>
                <w:color w:val="172B4D"/>
                <w:sz w:val="18"/>
              </w:rPr>
              <w:t>NXT v3.5 USD-M BTCUSDT/BNBUSDT/SOLUSDT 1D; promoted rulebook 2026-07-14</w:t>
            </w:r>
          </w:p>
        </w:tc>
      </w:tr>
      <w:tr>
        <w:trPr>
          <w:cantSplit/>
        </w:trPr>
        <w:tc>
          <w:tcPr>
            <w:tcW w:type="dxa" w:w="2200"/>
            <w:tcMar>
              <w:top w:w="80" w:type="dxa"/>
              <w:start w:w="120" w:type="dxa"/>
              <w:bottom w:w="80" w:type="dxa"/>
              <w:end w:w="120" w:type="dxa"/>
            </w:tcMar>
            <w:vAlign w:val="center"/>
          </w:tcPr>
          <w:p>
            <w:pPr>
              <w:spacing w:after="0"/>
              <w:jc w:val="center"/>
            </w:pPr>
            <w:r>
              <w:rPr>
                <w:rFonts w:ascii="Aptos" w:hAnsi="Aptos"/>
                <w:b w:val="0"/>
                <w:i w:val="0"/>
                <w:color w:val="172B4D"/>
                <w:sz w:val="18"/>
              </w:rPr>
              <w:t>Runtime MVP</w:t>
            </w:r>
          </w:p>
        </w:tc>
        <w:tc>
          <w:tcPr>
            <w:tcW w:type="dxa" w:w="7160"/>
            <w:tcMar>
              <w:top w:w="80" w:type="dxa"/>
              <w:start w:w="120" w:type="dxa"/>
              <w:bottom w:w="80" w:type="dxa"/>
              <w:end w:w="120" w:type="dxa"/>
            </w:tcMar>
            <w:vAlign w:val="center"/>
          </w:tcPr>
          <w:p>
            <w:pPr>
              <w:spacing w:after="0"/>
              <w:jc w:val="left"/>
            </w:pPr>
            <w:r>
              <w:rPr>
                <w:rFonts w:ascii="Aptos" w:hAnsi="Aptos"/>
                <w:b w:val="0"/>
                <w:i w:val="0"/>
                <w:color w:val="172B4D"/>
                <w:sz w:val="18"/>
              </w:rPr>
              <w:t>Windows desktop: local app + Windows Task Scheduler + local durable store</w:t>
            </w:r>
          </w:p>
        </w:tc>
      </w:tr>
      <w:tr>
        <w:trPr>
          <w:cantSplit/>
        </w:trPr>
        <w:tc>
          <w:tcPr>
            <w:tcW w:type="dxa" w:w="2200"/>
            <w:tcMar>
              <w:top w:w="80" w:type="dxa"/>
              <w:start w:w="120" w:type="dxa"/>
              <w:bottom w:w="80" w:type="dxa"/>
              <w:end w:w="120" w:type="dxa"/>
            </w:tcMar>
            <w:vAlign w:val="center"/>
          </w:tcPr>
          <w:p>
            <w:pPr>
              <w:spacing w:after="0"/>
              <w:jc w:val="center"/>
            </w:pPr>
            <w:r>
              <w:rPr>
                <w:rFonts w:ascii="Aptos" w:hAnsi="Aptos"/>
                <w:b w:val="0"/>
                <w:i w:val="0"/>
                <w:color w:val="172B4D"/>
                <w:sz w:val="18"/>
              </w:rPr>
              <w:t>Execution boundary</w:t>
            </w:r>
          </w:p>
        </w:tc>
        <w:tc>
          <w:tcPr>
            <w:tcW w:type="dxa" w:w="7160"/>
            <w:tcMar>
              <w:top w:w="80" w:type="dxa"/>
              <w:start w:w="120" w:type="dxa"/>
              <w:bottom w:w="80" w:type="dxa"/>
              <w:end w:w="120" w:type="dxa"/>
            </w:tcMar>
            <w:vAlign w:val="center"/>
          </w:tcPr>
          <w:p>
            <w:pPr>
              <w:spacing w:after="0"/>
              <w:jc w:val="left"/>
            </w:pPr>
            <w:r>
              <w:rPr>
                <w:rFonts w:ascii="Aptos" w:hAnsi="Aptos"/>
                <w:b w:val="0"/>
                <w:i w:val="0"/>
                <w:color w:val="172B4D"/>
                <w:sz w:val="18"/>
              </w:rPr>
              <w:t>Binance USD-M Futures testnet first; live only after explicit approval and go-live controls</w:t>
            </w:r>
          </w:p>
        </w:tc>
      </w:tr>
    </w:tbl>
    <w:p>
      <w:pPr>
        <w:spacing w:after="20"/>
      </w:pP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4D6"/>
          </w:tcPr>
          <w:p>
            <w:pPr>
              <w:spacing w:after="40"/>
            </w:pPr>
            <w:r>
              <w:rPr>
                <w:rFonts w:ascii="Aptos" w:hAnsi="Aptos"/>
                <w:b/>
                <w:i w:val="0"/>
                <w:color w:val="17365D"/>
                <w:sz w:val="21"/>
              </w:rPr>
              <w:t>Architecture decision</w:t>
            </w:r>
          </w:p>
          <w:p>
            <w:pPr>
              <w:spacing w:after="0"/>
            </w:pPr>
            <w:r>
              <w:rPr>
                <w:rFonts w:ascii="Aptos" w:hAnsi="Aptos"/>
                <w:b w:val="0"/>
                <w:i w:val="0"/>
                <w:color w:val="172B4D"/>
                <w:sz w:val="21"/>
              </w:rPr>
              <w:t>MVP is a desktop-first modular monolith. Logical modules are independently testable, but are deployed locally together to minimize operational complexity. Cloud hosting is deliberately out of MVP scope and remains a later readiness decision.</w:t>
            </w:r>
          </w:p>
        </w:tc>
      </w:tr>
    </w:tbl>
    <w:p>
      <w:pPr>
        <w:spacing w:after="20"/>
      </w:pPr>
    </w:p>
    <w:p>
      <w:pPr>
        <w:pStyle w:val="Heading1"/>
      </w:pPr>
      <w:r>
        <w:t>1. Purpose and scope</w:t>
      </w:r>
    </w:p>
    <w:p>
      <w:r>
        <w:rPr>
          <w:rFonts w:ascii="Aptos" w:hAnsi="Aptos"/>
          <w:b w:val="0"/>
          <w:i w:val="0"/>
          <w:color w:val="172B4D"/>
          <w:sz w:val="21"/>
        </w:rPr>
        <w:t>This HLD defines the target architecture for a human-in-the-loop NXT system: it scans a promoted NXT ruleset, produces an approved order proposal, executes only within policy, monitors real exchange state, and records an auditable lifecycle.</w:t>
      </w:r>
    </w:p>
    <w:tbl>
      <w:tblPr>
        <w:tblStyle w:val="TableGrid"/>
        <w:tblW w:type="dxa" w:w="9360"/>
        <w:jc w:val="left"/>
        <w:tblLayout w:type="fixed"/>
        <w:tblLook w:firstColumn="1" w:firstRow="1" w:lastColumn="0" w:lastRow="0" w:noHBand="0" w:noVBand="1" w:val="04A0"/>
        <w:tblInd w:w="120" w:type="dxa"/>
      </w:tblPr>
      <w:tblGrid>
        <w:gridCol w:w="4680"/>
        <w:gridCol w:w="4680"/>
      </w:tblGrid>
      <w:tr>
        <w:trPr>
          <w:cantSplit/>
          <w:tblHeader w:val="true"/>
        </w:trPr>
        <w:tc>
          <w:tcPr>
            <w:tcW w:type="dxa" w:w="4680"/>
            <w:shd w:fill="EAF2F8"/>
            <w:tcMar>
              <w:top w:w="80" w:type="dxa"/>
              <w:start w:w="120" w:type="dxa"/>
              <w:bottom w:w="80" w:type="dxa"/>
              <w:end w:w="120" w:type="dxa"/>
            </w:tcMar>
            <w:vAlign w:val="center"/>
          </w:tcPr>
          <w:p>
            <w:pPr>
              <w:spacing w:after="0"/>
              <w:jc w:val="center"/>
            </w:pPr>
            <w:r>
              <w:rPr>
                <w:rFonts w:ascii="Aptos" w:hAnsi="Aptos"/>
                <w:b/>
                <w:i w:val="0"/>
                <w:color w:val="172B4D"/>
                <w:sz w:val="18"/>
              </w:rPr>
              <w:t>In scope</w:t>
            </w:r>
          </w:p>
        </w:tc>
        <w:tc>
          <w:tcPr>
            <w:tcW w:type="dxa" w:w="4680"/>
            <w:shd w:fill="EAF2F8"/>
            <w:tcMar>
              <w:top w:w="80" w:type="dxa"/>
              <w:start w:w="120" w:type="dxa"/>
              <w:bottom w:w="80" w:type="dxa"/>
              <w:end w:w="120" w:type="dxa"/>
            </w:tcMar>
            <w:vAlign w:val="center"/>
          </w:tcPr>
          <w:p>
            <w:pPr>
              <w:spacing w:after="0"/>
              <w:jc w:val="center"/>
            </w:pPr>
            <w:r>
              <w:rPr>
                <w:rFonts w:ascii="Aptos" w:hAnsi="Aptos"/>
                <w:b/>
                <w:i w:val="0"/>
                <w:color w:val="172B4D"/>
                <w:sz w:val="18"/>
              </w:rPr>
              <w:t>Out of scope / deferred</w:t>
            </w:r>
          </w:p>
        </w:tc>
      </w:tr>
      <w:tr>
        <w:trPr>
          <w:cantSplit/>
        </w:trPr>
        <w:tc>
          <w:tcPr>
            <w:tcW w:type="dxa" w:w="4680"/>
            <w:tcMar>
              <w:top w:w="80" w:type="dxa"/>
              <w:start w:w="120" w:type="dxa"/>
              <w:bottom w:w="80" w:type="dxa"/>
              <w:end w:w="120" w:type="dxa"/>
            </w:tcMar>
            <w:vAlign w:val="center"/>
          </w:tcPr>
          <w:p>
            <w:pPr>
              <w:spacing w:after="0"/>
              <w:jc w:val="center"/>
            </w:pPr>
            <w:r>
              <w:rPr>
                <w:rFonts w:ascii="Aptos" w:hAnsi="Aptos"/>
                <w:b w:val="0"/>
                <w:i w:val="0"/>
                <w:color w:val="172B4D"/>
                <w:sz w:val="18"/>
              </w:rPr>
              <w:t>Desktop scan, rule evaluation, approval workflow, USD-M testnet gateway, order protection, reconciliation, audit, Telegram/local UI.</w:t>
            </w:r>
          </w:p>
        </w:tc>
        <w:tc>
          <w:tcPr>
            <w:tcW w:type="dxa" w:w="4680"/>
            <w:tcMar>
              <w:top w:w="80" w:type="dxa"/>
              <w:start w:w="120" w:type="dxa"/>
              <w:bottom w:w="80" w:type="dxa"/>
              <w:end w:w="120" w:type="dxa"/>
            </w:tcMar>
            <w:vAlign w:val="center"/>
          </w:tcPr>
          <w:p>
            <w:pPr>
              <w:spacing w:after="0"/>
              <w:jc w:val="left"/>
            </w:pPr>
            <w:r>
              <w:rPr>
                <w:rFonts w:ascii="Aptos" w:hAnsi="Aptos"/>
                <w:b w:val="0"/>
                <w:i w:val="0"/>
                <w:color w:val="172B4D"/>
                <w:sz w:val="18"/>
              </w:rPr>
              <w:t>Cloud runtime, autonomous rule promotion, HFT/intraday, multi-exchange routing, withdrawal automation, unattended live entry approval.</w:t>
            </w:r>
          </w:p>
        </w:tc>
      </w:tr>
    </w:tbl>
    <w:p>
      <w:pPr>
        <w:spacing w:after="20"/>
      </w:pPr>
    </w:p>
    <w:p>
      <w:pPr>
        <w:pStyle w:val="Heading1"/>
      </w:pPr>
      <w:r>
        <w:t>2. Architecture drivers and principles</w:t>
      </w:r>
    </w:p>
    <w:tbl>
      <w:tblPr>
        <w:tblStyle w:val="TableGrid"/>
        <w:tblW w:type="dxa" w:w="9360"/>
        <w:jc w:val="left"/>
        <w:tblLayout w:type="fixed"/>
        <w:tblLook w:firstColumn="1" w:firstRow="1" w:lastColumn="0" w:lastRow="0" w:noHBand="0" w:noVBand="1" w:val="04A0"/>
        <w:tblInd w:w="120" w:type="dxa"/>
      </w:tblPr>
      <w:tblGrid>
        <w:gridCol w:w="2600"/>
        <w:gridCol w:w="6760"/>
      </w:tblGrid>
      <w:tr>
        <w:trPr>
          <w:cantSplit/>
          <w:tblHeader w:val="true"/>
        </w:trPr>
        <w:tc>
          <w:tcPr>
            <w:tcW w:type="dxa" w:w="2600"/>
            <w:shd w:fill="F2F4F7"/>
            <w:tcMar>
              <w:top w:w="80" w:type="dxa"/>
              <w:start w:w="120" w:type="dxa"/>
              <w:bottom w:w="80" w:type="dxa"/>
              <w:end w:w="120" w:type="dxa"/>
            </w:tcMar>
            <w:vAlign w:val="center"/>
          </w:tcPr>
          <w:p>
            <w:pPr>
              <w:spacing w:after="0"/>
              <w:jc w:val="center"/>
            </w:pPr>
            <w:r>
              <w:rPr>
                <w:rFonts w:ascii="Aptos" w:hAnsi="Aptos"/>
                <w:b/>
                <w:i w:val="0"/>
                <w:color w:val="172B4D"/>
                <w:sz w:val="18"/>
              </w:rPr>
              <w:t>Driver</w:t>
            </w:r>
          </w:p>
        </w:tc>
        <w:tc>
          <w:tcPr>
            <w:tcW w:type="dxa" w:w="6760"/>
            <w:shd w:fill="F2F4F7"/>
            <w:tcMar>
              <w:top w:w="80" w:type="dxa"/>
              <w:start w:w="120" w:type="dxa"/>
              <w:bottom w:w="80" w:type="dxa"/>
              <w:end w:w="120" w:type="dxa"/>
            </w:tcMar>
            <w:vAlign w:val="center"/>
          </w:tcPr>
          <w:p>
            <w:pPr>
              <w:spacing w:after="0"/>
              <w:jc w:val="center"/>
            </w:pPr>
            <w:r>
              <w:rPr>
                <w:rFonts w:ascii="Aptos" w:hAnsi="Aptos"/>
                <w:b/>
                <w:i w:val="0"/>
                <w:color w:val="172B4D"/>
                <w:sz w:val="18"/>
              </w:rPr>
              <w:t>Architectural response</w:t>
            </w:r>
          </w:p>
        </w:tc>
      </w:tr>
      <w:tr>
        <w:trPr>
          <w:cantSplit/>
        </w:trPr>
        <w:tc>
          <w:tcPr>
            <w:tcW w:type="dxa" w:w="2600"/>
            <w:tcMar>
              <w:top w:w="80" w:type="dxa"/>
              <w:start w:w="120" w:type="dxa"/>
              <w:bottom w:w="80" w:type="dxa"/>
              <w:end w:w="120" w:type="dxa"/>
            </w:tcMar>
            <w:vAlign w:val="center"/>
          </w:tcPr>
          <w:p>
            <w:pPr>
              <w:spacing w:after="0"/>
              <w:jc w:val="center"/>
            </w:pPr>
            <w:r>
              <w:rPr>
                <w:rFonts w:ascii="Aptos" w:hAnsi="Aptos"/>
                <w:b w:val="0"/>
                <w:i w:val="0"/>
                <w:color w:val="172B4D"/>
                <w:sz w:val="18"/>
              </w:rPr>
              <w:t>Human approval</w:t>
            </w:r>
          </w:p>
        </w:tc>
        <w:tc>
          <w:tcPr>
            <w:tcW w:type="dxa" w:w="6760"/>
            <w:tcMar>
              <w:top w:w="80" w:type="dxa"/>
              <w:start w:w="120" w:type="dxa"/>
              <w:bottom w:w="80" w:type="dxa"/>
              <w:end w:w="120" w:type="dxa"/>
            </w:tcMar>
            <w:vAlign w:val="center"/>
          </w:tcPr>
          <w:p>
            <w:pPr>
              <w:spacing w:after="0"/>
              <w:jc w:val="left"/>
            </w:pPr>
            <w:r>
              <w:rPr>
                <w:rFonts w:ascii="Aptos" w:hAnsi="Aptos"/>
                <w:b w:val="0"/>
                <w:i w:val="0"/>
                <w:color w:val="172B4D"/>
                <w:sz w:val="18"/>
              </w:rPr>
              <w:t>Proposal and Decision are durable records. Execution accepts only a non-expired approved proposal hash.</w:t>
            </w:r>
          </w:p>
        </w:tc>
      </w:tr>
      <w:tr>
        <w:trPr>
          <w:cantSplit/>
        </w:trPr>
        <w:tc>
          <w:tcPr>
            <w:tcW w:type="dxa" w:w="2600"/>
            <w:tcMar>
              <w:top w:w="80" w:type="dxa"/>
              <w:start w:w="120" w:type="dxa"/>
              <w:bottom w:w="80" w:type="dxa"/>
              <w:end w:w="120" w:type="dxa"/>
            </w:tcMar>
            <w:vAlign w:val="center"/>
          </w:tcPr>
          <w:p>
            <w:pPr>
              <w:spacing w:after="0"/>
              <w:jc w:val="center"/>
            </w:pPr>
            <w:r>
              <w:rPr>
                <w:rFonts w:ascii="Aptos" w:hAnsi="Aptos"/>
                <w:b w:val="0"/>
                <w:i w:val="0"/>
                <w:color w:val="172B4D"/>
                <w:sz w:val="18"/>
              </w:rPr>
              <w:t>NXT latest changes</w:t>
            </w:r>
          </w:p>
        </w:tc>
        <w:tc>
          <w:tcPr>
            <w:tcW w:type="dxa" w:w="6760"/>
            <w:tcMar>
              <w:top w:w="80" w:type="dxa"/>
              <w:start w:w="120" w:type="dxa"/>
              <w:bottom w:w="80" w:type="dxa"/>
              <w:end w:w="120" w:type="dxa"/>
            </w:tcMar>
            <w:vAlign w:val="center"/>
          </w:tcPr>
          <w:p>
            <w:pPr>
              <w:spacing w:after="0"/>
              <w:jc w:val="left"/>
            </w:pPr>
            <w:r>
              <w:rPr>
                <w:rFonts w:ascii="Aptos" w:hAnsi="Aptos"/>
                <w:b w:val="0"/>
                <w:i w:val="0"/>
                <w:color w:val="172B4D"/>
                <w:sz w:val="18"/>
              </w:rPr>
              <w:t>RuleVersion is immutable with parameters, artifact hash, source contract/session, and promotion timestamp. Existing positions retain their entry rule version.</w:t>
            </w:r>
          </w:p>
        </w:tc>
      </w:tr>
      <w:tr>
        <w:trPr>
          <w:cantSplit/>
        </w:trPr>
        <w:tc>
          <w:tcPr>
            <w:tcW w:type="dxa" w:w="2600"/>
            <w:tcMar>
              <w:top w:w="80" w:type="dxa"/>
              <w:start w:w="120" w:type="dxa"/>
              <w:bottom w:w="80" w:type="dxa"/>
              <w:end w:w="120" w:type="dxa"/>
            </w:tcMar>
            <w:vAlign w:val="center"/>
          </w:tcPr>
          <w:p>
            <w:pPr>
              <w:spacing w:after="0"/>
              <w:jc w:val="center"/>
            </w:pPr>
            <w:r>
              <w:rPr>
                <w:rFonts w:ascii="Aptos" w:hAnsi="Aptos"/>
                <w:b w:val="0"/>
                <w:i w:val="0"/>
                <w:color w:val="172B4D"/>
                <w:sz w:val="18"/>
              </w:rPr>
              <w:t>USD-M execution risk</w:t>
            </w:r>
          </w:p>
        </w:tc>
        <w:tc>
          <w:tcPr>
            <w:tcW w:type="dxa" w:w="6760"/>
            <w:tcMar>
              <w:top w:w="80" w:type="dxa"/>
              <w:start w:w="120" w:type="dxa"/>
              <w:bottom w:w="80" w:type="dxa"/>
              <w:end w:w="120" w:type="dxa"/>
            </w:tcMar>
            <w:vAlign w:val="center"/>
          </w:tcPr>
          <w:p>
            <w:pPr>
              <w:spacing w:after="0"/>
              <w:jc w:val="left"/>
            </w:pPr>
            <w:r>
              <w:rPr>
                <w:rFonts w:ascii="Aptos" w:hAnsi="Aptos"/>
                <w:b w:val="0"/>
                <w:i w:val="0"/>
                <w:color w:val="172B4D"/>
                <w:sz w:val="18"/>
              </w:rPr>
              <w:t>Risk engine sizes before leverage; isolated margin, exchange filters, liquidation buffer and portfolio caps are pre-trade gates.</w:t>
            </w:r>
          </w:p>
        </w:tc>
      </w:tr>
      <w:tr>
        <w:trPr>
          <w:cantSplit/>
        </w:trPr>
        <w:tc>
          <w:tcPr>
            <w:tcW w:type="dxa" w:w="2600"/>
            <w:tcMar>
              <w:top w:w="80" w:type="dxa"/>
              <w:start w:w="120" w:type="dxa"/>
              <w:bottom w:w="80" w:type="dxa"/>
              <w:end w:w="120" w:type="dxa"/>
            </w:tcMar>
            <w:vAlign w:val="center"/>
          </w:tcPr>
          <w:p>
            <w:pPr>
              <w:spacing w:after="0"/>
              <w:jc w:val="center"/>
            </w:pPr>
            <w:r>
              <w:rPr>
                <w:rFonts w:ascii="Aptos" w:hAnsi="Aptos"/>
                <w:b w:val="0"/>
                <w:i w:val="0"/>
                <w:color w:val="172B4D"/>
                <w:sz w:val="18"/>
              </w:rPr>
              <w:t>Ambiguous exchange outcomes</w:t>
            </w:r>
          </w:p>
        </w:tc>
        <w:tc>
          <w:tcPr>
            <w:tcW w:type="dxa" w:w="6760"/>
            <w:tcMar>
              <w:top w:w="80" w:type="dxa"/>
              <w:start w:w="120" w:type="dxa"/>
              <w:bottom w:w="80" w:type="dxa"/>
              <w:end w:w="120" w:type="dxa"/>
            </w:tcMar>
            <w:vAlign w:val="center"/>
          </w:tcPr>
          <w:p>
            <w:pPr>
              <w:spacing w:after="0"/>
              <w:jc w:val="left"/>
            </w:pPr>
            <w:r>
              <w:rPr>
                <w:rFonts w:ascii="Aptos" w:hAnsi="Aptos"/>
                <w:b w:val="0"/>
                <w:i w:val="0"/>
                <w:color w:val="172B4D"/>
                <w:sz w:val="18"/>
              </w:rPr>
              <w:t>Stable clientOrderId, query-before-retry, idempotency ledger and Binance reconciliation prevent duplicate logical orders.</w:t>
            </w:r>
          </w:p>
        </w:tc>
      </w:tr>
      <w:tr>
        <w:trPr>
          <w:cantSplit/>
        </w:trPr>
        <w:tc>
          <w:tcPr>
            <w:tcW w:type="dxa" w:w="2600"/>
            <w:tcMar>
              <w:top w:w="80" w:type="dxa"/>
              <w:start w:w="120" w:type="dxa"/>
              <w:bottom w:w="80" w:type="dxa"/>
              <w:end w:w="120" w:type="dxa"/>
            </w:tcMar>
            <w:vAlign w:val="center"/>
          </w:tcPr>
          <w:p>
            <w:pPr>
              <w:spacing w:after="0"/>
              <w:jc w:val="center"/>
            </w:pPr>
            <w:r>
              <w:rPr>
                <w:rFonts w:ascii="Aptos" w:hAnsi="Aptos"/>
                <w:b w:val="0"/>
                <w:i w:val="0"/>
                <w:color w:val="172B4D"/>
                <w:sz w:val="18"/>
              </w:rPr>
              <w:t>Desktop-first reliability</w:t>
            </w:r>
          </w:p>
        </w:tc>
        <w:tc>
          <w:tcPr>
            <w:tcW w:type="dxa" w:w="6760"/>
            <w:tcMar>
              <w:top w:w="80" w:type="dxa"/>
              <w:start w:w="120" w:type="dxa"/>
              <w:bottom w:w="80" w:type="dxa"/>
              <w:end w:w="120" w:type="dxa"/>
            </w:tcMar>
            <w:vAlign w:val="center"/>
          </w:tcPr>
          <w:p>
            <w:pPr>
              <w:spacing w:after="0"/>
              <w:jc w:val="left"/>
            </w:pPr>
            <w:r>
              <w:rPr>
                <w:rFonts w:ascii="Aptos" w:hAnsi="Aptos"/>
                <w:b w:val="0"/>
                <w:i w:val="0"/>
                <w:color w:val="172B4D"/>
                <w:sz w:val="18"/>
              </w:rPr>
              <w:t>Task Scheduler invokes a controlled service command; local health status, StartWhenAvailable, checkpoint recovery and operator alerting cover host interruptions.</w:t>
            </w:r>
          </w:p>
        </w:tc>
      </w:tr>
      <w:tr>
        <w:trPr>
          <w:cantSplit/>
        </w:trPr>
        <w:tc>
          <w:tcPr>
            <w:tcW w:type="dxa" w:w="2600"/>
            <w:tcMar>
              <w:top w:w="80" w:type="dxa"/>
              <w:start w:w="120" w:type="dxa"/>
              <w:bottom w:w="80" w:type="dxa"/>
              <w:end w:w="120" w:type="dxa"/>
            </w:tcMar>
            <w:vAlign w:val="center"/>
          </w:tcPr>
          <w:p>
            <w:pPr>
              <w:spacing w:after="0"/>
              <w:jc w:val="center"/>
            </w:pPr>
            <w:r>
              <w:rPr>
                <w:rFonts w:ascii="Aptos" w:hAnsi="Aptos"/>
                <w:b w:val="0"/>
                <w:i w:val="0"/>
                <w:color w:val="172B4D"/>
                <w:sz w:val="18"/>
              </w:rPr>
              <w:t>Auditability</w:t>
            </w:r>
          </w:p>
        </w:tc>
        <w:tc>
          <w:tcPr>
            <w:tcW w:type="dxa" w:w="6760"/>
            <w:tcMar>
              <w:top w:w="80" w:type="dxa"/>
              <w:start w:w="120" w:type="dxa"/>
              <w:bottom w:w="80" w:type="dxa"/>
              <w:end w:w="120" w:type="dxa"/>
            </w:tcMar>
            <w:vAlign w:val="center"/>
          </w:tcPr>
          <w:p>
            <w:pPr>
              <w:spacing w:after="0"/>
              <w:jc w:val="left"/>
            </w:pPr>
            <w:r>
              <w:rPr>
                <w:rFonts w:ascii="Aptos" w:hAnsi="Aptos"/>
                <w:b w:val="0"/>
                <w:i w:val="0"/>
                <w:color w:val="172B4D"/>
                <w:sz w:val="18"/>
              </w:rPr>
              <w:t>Append-only AuditEvent records actor, source, before/after state, correlation ID and external order IDs.</w:t>
            </w:r>
          </w:p>
        </w:tc>
      </w:tr>
    </w:tbl>
    <w:p>
      <w:pPr>
        <w:spacing w:after="20"/>
      </w:pPr>
    </w:p>
    <w:p>
      <w:pPr>
        <w:pStyle w:val="Heading1"/>
      </w:pPr>
      <w:r>
        <w:t>3. Logical architecture</w:t>
      </w:r>
    </w:p>
    <w:p>
      <w:r>
        <w:drawing>
          <wp:inline xmlns:a="http://schemas.openxmlformats.org/drawingml/2006/main" xmlns:pic="http://schemas.openxmlformats.org/drawingml/2006/picture">
            <wp:extent cx="6263640" cy="4071366"/>
            <wp:docPr id="1" name="Picture 1"/>
            <wp:cNvGraphicFramePr>
              <a:graphicFrameLocks noChangeAspect="1"/>
            </wp:cNvGraphicFramePr>
            <a:graphic>
              <a:graphicData uri="http://schemas.openxmlformats.org/drawingml/2006/picture">
                <pic:pic>
                  <pic:nvPicPr>
                    <pic:cNvPr id="0" name="nxt_desktop_architecture.png"/>
                    <pic:cNvPicPr/>
                  </pic:nvPicPr>
                  <pic:blipFill>
                    <a:blip r:embed="rId11"/>
                    <a:stretch>
                      <a:fillRect/>
                    </a:stretch>
                  </pic:blipFill>
                  <pic:spPr>
                    <a:xfrm>
                      <a:off x="0" y="0"/>
                      <a:ext cx="6263640" cy="4071366"/>
                    </a:xfrm>
                    <a:prstGeom prst="rect"/>
                  </pic:spPr>
                </pic:pic>
              </a:graphicData>
            </a:graphic>
          </wp:inline>
        </w:drawing>
      </w:r>
    </w:p>
    <w:p>
      <w:pPr>
        <w:jc w:val="center"/>
      </w:pPr>
      <w:r>
        <w:rPr>
          <w:rFonts w:ascii="Aptos" w:hAnsi="Aptos"/>
          <w:b w:val="0"/>
          <w:i/>
          <w:color w:val="667085"/>
          <w:sz w:val="17"/>
        </w:rPr>
        <w:t>Figure 1. Desktop-first logical architecture</w:t>
      </w:r>
    </w:p>
    <w:tbl>
      <w:tblPr>
        <w:tblStyle w:val="TableGrid"/>
        <w:tblW w:type="dxa" w:w="9360"/>
        <w:jc w:val="left"/>
        <w:tblLayout w:type="fixed"/>
        <w:tblLook w:firstColumn="1" w:firstRow="1" w:lastColumn="0" w:lastRow="0" w:noHBand="0" w:noVBand="1" w:val="04A0"/>
        <w:tblInd w:w="120" w:type="dxa"/>
      </w:tblPr>
      <w:tblGrid>
        <w:gridCol w:w="1550"/>
        <w:gridCol w:w="2750"/>
        <w:gridCol w:w="5060"/>
      </w:tblGrid>
      <w:tr>
        <w:trPr>
          <w:cantSplit/>
          <w:tblHeader w:val="true"/>
        </w:trPr>
        <w:tc>
          <w:tcPr>
            <w:tcW w:type="dxa" w:w="1550"/>
            <w:shd w:fill="F2F4F7"/>
            <w:tcMar>
              <w:top w:w="80" w:type="dxa"/>
              <w:start w:w="120" w:type="dxa"/>
              <w:bottom w:w="80" w:type="dxa"/>
              <w:end w:w="120" w:type="dxa"/>
            </w:tcMar>
            <w:vAlign w:val="center"/>
          </w:tcPr>
          <w:p>
            <w:pPr>
              <w:spacing w:after="0"/>
              <w:jc w:val="center"/>
            </w:pPr>
            <w:r>
              <w:rPr>
                <w:rFonts w:ascii="Aptos" w:hAnsi="Aptos"/>
                <w:b/>
                <w:i w:val="0"/>
                <w:color w:val="172B4D"/>
                <w:sz w:val="18"/>
              </w:rPr>
              <w:t>Layer</w:t>
            </w:r>
          </w:p>
        </w:tc>
        <w:tc>
          <w:tcPr>
            <w:tcW w:type="dxa" w:w="2750"/>
            <w:shd w:fill="F2F4F7"/>
            <w:tcMar>
              <w:top w:w="80" w:type="dxa"/>
              <w:start w:w="120" w:type="dxa"/>
              <w:bottom w:w="80" w:type="dxa"/>
              <w:end w:w="120" w:type="dxa"/>
            </w:tcMar>
            <w:vAlign w:val="center"/>
          </w:tcPr>
          <w:p>
            <w:pPr>
              <w:spacing w:after="0"/>
              <w:jc w:val="center"/>
            </w:pPr>
            <w:r>
              <w:rPr>
                <w:rFonts w:ascii="Aptos" w:hAnsi="Aptos"/>
                <w:b/>
                <w:i w:val="0"/>
                <w:color w:val="172B4D"/>
                <w:sz w:val="18"/>
              </w:rPr>
              <w:t>Components</w:t>
            </w:r>
          </w:p>
        </w:tc>
        <w:tc>
          <w:tcPr>
            <w:tcW w:type="dxa" w:w="5060"/>
            <w:shd w:fill="F2F4F7"/>
            <w:tcMar>
              <w:top w:w="80" w:type="dxa"/>
              <w:start w:w="120" w:type="dxa"/>
              <w:bottom w:w="80" w:type="dxa"/>
              <w:end w:w="120" w:type="dxa"/>
            </w:tcMar>
            <w:vAlign w:val="center"/>
          </w:tcPr>
          <w:p>
            <w:pPr>
              <w:spacing w:after="0"/>
              <w:jc w:val="center"/>
            </w:pPr>
            <w:r>
              <w:rPr>
                <w:rFonts w:ascii="Aptos" w:hAnsi="Aptos"/>
                <w:b/>
                <w:i w:val="0"/>
                <w:color w:val="172B4D"/>
                <w:sz w:val="18"/>
              </w:rPr>
              <w:t>Responsibility</w:t>
            </w:r>
          </w:p>
        </w:tc>
      </w:tr>
      <w:tr>
        <w:trPr>
          <w:cantSplit/>
        </w:trPr>
        <w:tc>
          <w:tcPr>
            <w:tcW w:type="dxa" w:w="1550"/>
            <w:tcMar>
              <w:top w:w="80" w:type="dxa"/>
              <w:start w:w="120" w:type="dxa"/>
              <w:bottom w:w="80" w:type="dxa"/>
              <w:end w:w="120" w:type="dxa"/>
            </w:tcMar>
            <w:vAlign w:val="center"/>
          </w:tcPr>
          <w:p>
            <w:pPr>
              <w:spacing w:after="0"/>
              <w:jc w:val="center"/>
            </w:pPr>
            <w:r>
              <w:rPr>
                <w:rFonts w:ascii="Aptos" w:hAnsi="Aptos"/>
                <w:b w:val="0"/>
                <w:i w:val="0"/>
                <w:color w:val="172B4D"/>
                <w:sz w:val="18"/>
              </w:rPr>
              <w:t>Experience</w:t>
            </w:r>
          </w:p>
        </w:tc>
        <w:tc>
          <w:tcPr>
            <w:tcW w:type="dxa" w:w="2750"/>
            <w:tcMar>
              <w:top w:w="80" w:type="dxa"/>
              <w:start w:w="120" w:type="dxa"/>
              <w:bottom w:w="80" w:type="dxa"/>
              <w:end w:w="120" w:type="dxa"/>
            </w:tcMar>
            <w:vAlign w:val="center"/>
          </w:tcPr>
          <w:p>
            <w:pPr>
              <w:spacing w:after="0"/>
              <w:jc w:val="left"/>
            </w:pPr>
            <w:r>
              <w:rPr>
                <w:rFonts w:ascii="Aptos" w:hAnsi="Aptos"/>
                <w:b w:val="0"/>
                <w:i w:val="0"/>
                <w:color w:val="172B4D"/>
                <w:sz w:val="18"/>
              </w:rPr>
              <w:t>Local App; Telegram notifier</w:t>
            </w:r>
          </w:p>
        </w:tc>
        <w:tc>
          <w:tcPr>
            <w:tcW w:type="dxa" w:w="5060"/>
            <w:tcMar>
              <w:top w:w="80" w:type="dxa"/>
              <w:start w:w="120" w:type="dxa"/>
              <w:bottom w:w="80" w:type="dxa"/>
              <w:end w:w="120" w:type="dxa"/>
            </w:tcMar>
            <w:vAlign w:val="center"/>
          </w:tcPr>
          <w:p>
            <w:pPr>
              <w:spacing w:after="0"/>
              <w:jc w:val="left"/>
            </w:pPr>
            <w:r>
              <w:rPr>
                <w:rFonts w:ascii="Aptos" w:hAnsi="Aptos"/>
                <w:b w:val="0"/>
                <w:i w:val="0"/>
                <w:color w:val="172B4D"/>
                <w:sz w:val="18"/>
              </w:rPr>
              <w:t>Review proposals, display lifecycle/audit, capture Approve/Reject and provide alerts. Telegram is notification-first; privileged decisions remain policy-controlled.</w:t>
            </w:r>
          </w:p>
        </w:tc>
      </w:tr>
      <w:tr>
        <w:trPr>
          <w:cantSplit/>
        </w:trPr>
        <w:tc>
          <w:tcPr>
            <w:tcW w:type="dxa" w:w="1550"/>
            <w:tcMar>
              <w:top w:w="80" w:type="dxa"/>
              <w:start w:w="120" w:type="dxa"/>
              <w:bottom w:w="80" w:type="dxa"/>
              <w:end w:w="120" w:type="dxa"/>
            </w:tcMar>
            <w:vAlign w:val="center"/>
          </w:tcPr>
          <w:p>
            <w:pPr>
              <w:spacing w:after="0"/>
              <w:jc w:val="center"/>
            </w:pPr>
            <w:r>
              <w:rPr>
                <w:rFonts w:ascii="Aptos" w:hAnsi="Aptos"/>
                <w:b w:val="0"/>
                <w:i w:val="0"/>
                <w:color w:val="172B4D"/>
                <w:sz w:val="18"/>
              </w:rPr>
              <w:t>Application</w:t>
            </w:r>
          </w:p>
        </w:tc>
        <w:tc>
          <w:tcPr>
            <w:tcW w:type="dxa" w:w="2750"/>
            <w:tcMar>
              <w:top w:w="80" w:type="dxa"/>
              <w:start w:w="120" w:type="dxa"/>
              <w:bottom w:w="80" w:type="dxa"/>
              <w:end w:w="120" w:type="dxa"/>
            </w:tcMar>
            <w:vAlign w:val="center"/>
          </w:tcPr>
          <w:p>
            <w:pPr>
              <w:spacing w:after="0"/>
              <w:jc w:val="left"/>
            </w:pPr>
            <w:r>
              <w:rPr>
                <w:rFonts w:ascii="Aptos" w:hAnsi="Aptos"/>
                <w:b w:val="0"/>
                <w:i w:val="0"/>
                <w:color w:val="172B4D"/>
                <w:sz w:val="18"/>
              </w:rPr>
              <w:t>Workflow service; lifecycle manager; policy evaluator</w:t>
            </w:r>
          </w:p>
        </w:tc>
        <w:tc>
          <w:tcPr>
            <w:tcW w:type="dxa" w:w="5060"/>
            <w:tcMar>
              <w:top w:w="80" w:type="dxa"/>
              <w:start w:w="120" w:type="dxa"/>
              <w:bottom w:w="80" w:type="dxa"/>
              <w:end w:w="120" w:type="dxa"/>
            </w:tcMar>
            <w:vAlign w:val="center"/>
          </w:tcPr>
          <w:p>
            <w:pPr>
              <w:spacing w:after="0"/>
              <w:jc w:val="left"/>
            </w:pPr>
            <w:r>
              <w:rPr>
                <w:rFonts w:ascii="Aptos" w:hAnsi="Aptos"/>
                <w:b w:val="0"/>
                <w:i w:val="0"/>
                <w:color w:val="172B4D"/>
                <w:sz w:val="18"/>
              </w:rPr>
              <w:t>Owns state transitions, approval expiry, idempotency and exception-to-Needs Review behavior.</w:t>
            </w:r>
          </w:p>
        </w:tc>
      </w:tr>
      <w:tr>
        <w:trPr>
          <w:cantSplit/>
        </w:trPr>
        <w:tc>
          <w:tcPr>
            <w:tcW w:type="dxa" w:w="1550"/>
            <w:tcMar>
              <w:top w:w="80" w:type="dxa"/>
              <w:start w:w="120" w:type="dxa"/>
              <w:bottom w:w="80" w:type="dxa"/>
              <w:end w:w="120" w:type="dxa"/>
            </w:tcMar>
            <w:vAlign w:val="center"/>
          </w:tcPr>
          <w:p>
            <w:pPr>
              <w:spacing w:after="0"/>
              <w:jc w:val="center"/>
            </w:pPr>
            <w:r>
              <w:rPr>
                <w:rFonts w:ascii="Aptos" w:hAnsi="Aptos"/>
                <w:b w:val="0"/>
                <w:i w:val="0"/>
                <w:color w:val="172B4D"/>
                <w:sz w:val="18"/>
              </w:rPr>
              <w:t>Strategy</w:t>
            </w:r>
          </w:p>
        </w:tc>
        <w:tc>
          <w:tcPr>
            <w:tcW w:type="dxa" w:w="2750"/>
            <w:tcMar>
              <w:top w:w="80" w:type="dxa"/>
              <w:start w:w="120" w:type="dxa"/>
              <w:bottom w:w="80" w:type="dxa"/>
              <w:end w:w="120" w:type="dxa"/>
            </w:tcMar>
            <w:vAlign w:val="center"/>
          </w:tcPr>
          <w:p>
            <w:pPr>
              <w:spacing w:after="0"/>
              <w:jc w:val="left"/>
            </w:pPr>
            <w:r>
              <w:rPr>
                <w:rFonts w:ascii="Aptos" w:hAnsi="Aptos"/>
                <w:b w:val="0"/>
                <w:i w:val="0"/>
                <w:color w:val="172B4D"/>
                <w:sz w:val="18"/>
              </w:rPr>
              <w:t>Market data adapter; NXT rule engine; RuleVersion registry</w:t>
            </w:r>
          </w:p>
        </w:tc>
        <w:tc>
          <w:tcPr>
            <w:tcW w:type="dxa" w:w="5060"/>
            <w:tcMar>
              <w:top w:w="80" w:type="dxa"/>
              <w:start w:w="120" w:type="dxa"/>
              <w:bottom w:w="80" w:type="dxa"/>
              <w:end w:w="120" w:type="dxa"/>
            </w:tcMar>
            <w:vAlign w:val="center"/>
          </w:tcPr>
          <w:p>
            <w:pPr>
              <w:spacing w:after="0"/>
              <w:jc w:val="left"/>
            </w:pPr>
            <w:r>
              <w:rPr>
                <w:rFonts w:ascii="Aptos" w:hAnsi="Aptos"/>
                <w:b w:val="0"/>
                <w:i w:val="0"/>
                <w:color w:val="172B4D"/>
                <w:sz w:val="18"/>
              </w:rPr>
              <w:t>Reads closed USD-M candles, computes indicators, evaluates E/P/G rules, stores pass/fail rationale and signal snapshot.</w:t>
            </w:r>
          </w:p>
        </w:tc>
      </w:tr>
      <w:tr>
        <w:trPr>
          <w:cantSplit/>
        </w:trPr>
        <w:tc>
          <w:tcPr>
            <w:tcW w:type="dxa" w:w="1550"/>
            <w:tcMar>
              <w:top w:w="80" w:type="dxa"/>
              <w:start w:w="120" w:type="dxa"/>
              <w:bottom w:w="80" w:type="dxa"/>
              <w:end w:w="120" w:type="dxa"/>
            </w:tcMar>
            <w:vAlign w:val="center"/>
          </w:tcPr>
          <w:p>
            <w:pPr>
              <w:spacing w:after="0"/>
              <w:jc w:val="center"/>
            </w:pPr>
            <w:r>
              <w:rPr>
                <w:rFonts w:ascii="Aptos" w:hAnsi="Aptos"/>
                <w:b w:val="0"/>
                <w:i w:val="0"/>
                <w:color w:val="172B4D"/>
                <w:sz w:val="18"/>
              </w:rPr>
              <w:t>Trading</w:t>
            </w:r>
          </w:p>
        </w:tc>
        <w:tc>
          <w:tcPr>
            <w:tcW w:type="dxa" w:w="2750"/>
            <w:tcMar>
              <w:top w:w="80" w:type="dxa"/>
              <w:start w:w="120" w:type="dxa"/>
              <w:bottom w:w="80" w:type="dxa"/>
              <w:end w:w="120" w:type="dxa"/>
            </w:tcMar>
            <w:vAlign w:val="center"/>
          </w:tcPr>
          <w:p>
            <w:pPr>
              <w:spacing w:after="0"/>
              <w:jc w:val="left"/>
            </w:pPr>
            <w:r>
              <w:rPr>
                <w:rFonts w:ascii="Aptos" w:hAnsi="Aptos"/>
                <w:b w:val="0"/>
                <w:i w:val="0"/>
                <w:color w:val="172B4D"/>
                <w:sz w:val="18"/>
              </w:rPr>
              <w:t>Risk/proposal engine; execution gateway; position monitor</w:t>
            </w:r>
          </w:p>
        </w:tc>
        <w:tc>
          <w:tcPr>
            <w:tcW w:type="dxa" w:w="5060"/>
            <w:tcMar>
              <w:top w:w="80" w:type="dxa"/>
              <w:start w:w="120" w:type="dxa"/>
              <w:bottom w:w="80" w:type="dxa"/>
              <w:end w:w="120" w:type="dxa"/>
            </w:tcMar>
            <w:vAlign w:val="center"/>
          </w:tcPr>
          <w:p>
            <w:pPr>
              <w:spacing w:after="0"/>
              <w:jc w:val="left"/>
            </w:pPr>
            <w:r>
              <w:rPr>
                <w:rFonts w:ascii="Aptos" w:hAnsi="Aptos"/>
                <w:b w:val="0"/>
                <w:i w:val="0"/>
                <w:color w:val="172B4D"/>
                <w:sz w:val="18"/>
              </w:rPr>
              <w:t>Calculates quantity/margin, validates filters, submits approved orders, maintains protective orders and reconciles exchange events.</w:t>
            </w:r>
          </w:p>
        </w:tc>
      </w:tr>
      <w:tr>
        <w:trPr>
          <w:cantSplit/>
        </w:trPr>
        <w:tc>
          <w:tcPr>
            <w:tcW w:type="dxa" w:w="1550"/>
            <w:tcMar>
              <w:top w:w="80" w:type="dxa"/>
              <w:start w:w="120" w:type="dxa"/>
              <w:bottom w:w="80" w:type="dxa"/>
              <w:end w:w="120" w:type="dxa"/>
            </w:tcMar>
            <w:vAlign w:val="center"/>
          </w:tcPr>
          <w:p>
            <w:pPr>
              <w:spacing w:after="0"/>
              <w:jc w:val="center"/>
            </w:pPr>
            <w:r>
              <w:rPr>
                <w:rFonts w:ascii="Aptos" w:hAnsi="Aptos"/>
                <w:b w:val="0"/>
                <w:i w:val="0"/>
                <w:color w:val="172B4D"/>
                <w:sz w:val="18"/>
              </w:rPr>
              <w:t>Data/control</w:t>
            </w:r>
          </w:p>
        </w:tc>
        <w:tc>
          <w:tcPr>
            <w:tcW w:type="dxa" w:w="2750"/>
            <w:tcMar>
              <w:top w:w="80" w:type="dxa"/>
              <w:start w:w="120" w:type="dxa"/>
              <w:bottom w:w="80" w:type="dxa"/>
              <w:end w:w="120" w:type="dxa"/>
            </w:tcMar>
            <w:vAlign w:val="center"/>
          </w:tcPr>
          <w:p>
            <w:pPr>
              <w:spacing w:after="0"/>
              <w:jc w:val="left"/>
            </w:pPr>
            <w:r>
              <w:rPr>
                <w:rFonts w:ascii="Aptos" w:hAnsi="Aptos"/>
                <w:b w:val="0"/>
                <w:i w:val="0"/>
                <w:color w:val="172B4D"/>
                <w:sz w:val="18"/>
              </w:rPr>
              <w:t>SQLite WAL store; audit log; settings/secrets; backup exporter</w:t>
            </w:r>
          </w:p>
        </w:tc>
        <w:tc>
          <w:tcPr>
            <w:tcW w:type="dxa" w:w="5060"/>
            <w:tcMar>
              <w:top w:w="80" w:type="dxa"/>
              <w:start w:w="120" w:type="dxa"/>
              <w:bottom w:w="80" w:type="dxa"/>
              <w:end w:w="120" w:type="dxa"/>
            </w:tcMar>
            <w:vAlign w:val="center"/>
          </w:tcPr>
          <w:p>
            <w:pPr>
              <w:spacing w:after="0"/>
              <w:jc w:val="left"/>
            </w:pPr>
            <w:r>
              <w:rPr>
                <w:rFonts w:ascii="Aptos" w:hAnsi="Aptos"/>
                <w:b w:val="0"/>
                <w:i w:val="0"/>
                <w:color w:val="172B4D"/>
                <w:sz w:val="18"/>
              </w:rPr>
              <w:t>Durable local source for business state; Binance remains source of truth for exchange order/fill/position facts.</w:t>
            </w:r>
          </w:p>
        </w:tc>
      </w:tr>
      <w:tr>
        <w:trPr>
          <w:cantSplit/>
        </w:trPr>
        <w:tc>
          <w:tcPr>
            <w:tcW w:type="dxa" w:w="1550"/>
            <w:tcMar>
              <w:top w:w="80" w:type="dxa"/>
              <w:start w:w="120" w:type="dxa"/>
              <w:bottom w:w="80" w:type="dxa"/>
              <w:end w:w="120" w:type="dxa"/>
            </w:tcMar>
            <w:vAlign w:val="center"/>
          </w:tcPr>
          <w:p>
            <w:pPr>
              <w:spacing w:after="0"/>
              <w:jc w:val="center"/>
            </w:pPr>
            <w:r>
              <w:rPr>
                <w:rFonts w:ascii="Aptos" w:hAnsi="Aptos"/>
                <w:b w:val="0"/>
                <w:i w:val="0"/>
                <w:color w:val="172B4D"/>
                <w:sz w:val="18"/>
              </w:rPr>
              <w:t>External</w:t>
            </w:r>
          </w:p>
        </w:tc>
        <w:tc>
          <w:tcPr>
            <w:tcW w:type="dxa" w:w="2750"/>
            <w:tcMar>
              <w:top w:w="80" w:type="dxa"/>
              <w:start w:w="120" w:type="dxa"/>
              <w:bottom w:w="80" w:type="dxa"/>
              <w:end w:w="120" w:type="dxa"/>
            </w:tcMar>
            <w:vAlign w:val="center"/>
          </w:tcPr>
          <w:p>
            <w:pPr>
              <w:spacing w:after="0"/>
              <w:jc w:val="left"/>
            </w:pPr>
            <w:r>
              <w:rPr>
                <w:rFonts w:ascii="Aptos" w:hAnsi="Aptos"/>
                <w:b w:val="0"/>
                <w:i w:val="0"/>
                <w:color w:val="172B4D"/>
                <w:sz w:val="18"/>
              </w:rPr>
              <w:t>Binance USD-M APIs/streams; Telegram API</w:t>
            </w:r>
          </w:p>
        </w:tc>
        <w:tc>
          <w:tcPr>
            <w:tcW w:type="dxa" w:w="5060"/>
            <w:tcMar>
              <w:top w:w="80" w:type="dxa"/>
              <w:start w:w="120" w:type="dxa"/>
              <w:bottom w:w="80" w:type="dxa"/>
              <w:end w:w="120" w:type="dxa"/>
            </w:tcMar>
            <w:vAlign w:val="center"/>
          </w:tcPr>
          <w:p>
            <w:pPr>
              <w:spacing w:after="0"/>
              <w:jc w:val="left"/>
            </w:pPr>
            <w:r>
              <w:rPr>
                <w:rFonts w:ascii="Aptos" w:hAnsi="Aptos"/>
                <w:b w:val="0"/>
                <w:i w:val="0"/>
                <w:color w:val="172B4D"/>
                <w:sz w:val="18"/>
              </w:rPr>
              <w:t>Market data, exchange status, trading/account events, delivery of notifications.</w:t>
            </w:r>
          </w:p>
        </w:tc>
      </w:tr>
    </w:tbl>
    <w:p>
      <w:pPr>
        <w:spacing w:after="20"/>
      </w:pPr>
    </w:p>
    <w:p>
      <w:pPr>
        <w:pStyle w:val="Heading1"/>
      </w:pPr>
      <w:r>
        <w:t>4. Desktop deployment topology</w:t>
      </w:r>
    </w:p>
    <w:tbl>
      <w:tblPr>
        <w:tblStyle w:val="TableGrid"/>
        <w:tblW w:type="dxa" w:w="9360"/>
        <w:jc w:val="left"/>
        <w:tblLayout w:type="fixed"/>
        <w:tblLook w:firstColumn="1" w:firstRow="1" w:lastColumn="0" w:lastRow="0" w:noHBand="0" w:noVBand="1" w:val="04A0"/>
        <w:tblInd w:w="120" w:type="dxa"/>
      </w:tblPr>
      <w:tblGrid>
        <w:gridCol w:w="1900"/>
        <w:gridCol w:w="3900"/>
        <w:gridCol w:w="3560"/>
      </w:tblGrid>
      <w:tr>
        <w:trPr>
          <w:cantSplit/>
          <w:tblHeader w:val="true"/>
        </w:trPr>
        <w:tc>
          <w:tcPr>
            <w:tcW w:type="dxa" w:w="1900"/>
            <w:shd w:fill="F2F4F7"/>
            <w:tcMar>
              <w:top w:w="80" w:type="dxa"/>
              <w:start w:w="120" w:type="dxa"/>
              <w:bottom w:w="80" w:type="dxa"/>
              <w:end w:w="120" w:type="dxa"/>
            </w:tcMar>
            <w:vAlign w:val="center"/>
          </w:tcPr>
          <w:p>
            <w:pPr>
              <w:spacing w:after="0"/>
              <w:jc w:val="center"/>
            </w:pPr>
            <w:r>
              <w:rPr>
                <w:rFonts w:ascii="Aptos" w:hAnsi="Aptos"/>
                <w:b/>
                <w:i w:val="0"/>
                <w:color w:val="172B4D"/>
                <w:sz w:val="18"/>
              </w:rPr>
              <w:t>Node</w:t>
            </w:r>
          </w:p>
        </w:tc>
        <w:tc>
          <w:tcPr>
            <w:tcW w:type="dxa" w:w="3900"/>
            <w:shd w:fill="F2F4F7"/>
            <w:tcMar>
              <w:top w:w="80" w:type="dxa"/>
              <w:start w:w="120" w:type="dxa"/>
              <w:bottom w:w="80" w:type="dxa"/>
              <w:end w:w="120" w:type="dxa"/>
            </w:tcMar>
            <w:vAlign w:val="center"/>
          </w:tcPr>
          <w:p>
            <w:pPr>
              <w:spacing w:after="0"/>
              <w:jc w:val="center"/>
            </w:pPr>
            <w:r>
              <w:rPr>
                <w:rFonts w:ascii="Aptos" w:hAnsi="Aptos"/>
                <w:b/>
                <w:i w:val="0"/>
                <w:color w:val="172B4D"/>
                <w:sz w:val="18"/>
              </w:rPr>
              <w:t>Processes / stores</w:t>
            </w:r>
          </w:p>
        </w:tc>
        <w:tc>
          <w:tcPr>
            <w:tcW w:type="dxa" w:w="3560"/>
            <w:shd w:fill="F2F4F7"/>
            <w:tcMar>
              <w:top w:w="80" w:type="dxa"/>
              <w:start w:w="120" w:type="dxa"/>
              <w:bottom w:w="80" w:type="dxa"/>
              <w:end w:w="120" w:type="dxa"/>
            </w:tcMar>
            <w:vAlign w:val="center"/>
          </w:tcPr>
          <w:p>
            <w:pPr>
              <w:spacing w:after="0"/>
              <w:jc w:val="center"/>
            </w:pPr>
            <w:r>
              <w:rPr>
                <w:rFonts w:ascii="Aptos" w:hAnsi="Aptos"/>
                <w:b/>
                <w:i w:val="0"/>
                <w:color w:val="172B4D"/>
                <w:sz w:val="18"/>
              </w:rPr>
              <w:t>Operational responsibility</w:t>
            </w:r>
          </w:p>
        </w:tc>
      </w:tr>
      <w:tr>
        <w:trPr>
          <w:cantSplit/>
        </w:trPr>
        <w:tc>
          <w:tcPr>
            <w:tcW w:type="dxa" w:w="1900"/>
            <w:tcMar>
              <w:top w:w="80" w:type="dxa"/>
              <w:start w:w="120" w:type="dxa"/>
              <w:bottom w:w="80" w:type="dxa"/>
              <w:end w:w="120" w:type="dxa"/>
            </w:tcMar>
            <w:vAlign w:val="center"/>
          </w:tcPr>
          <w:p>
            <w:pPr>
              <w:spacing w:after="0"/>
              <w:jc w:val="center"/>
            </w:pPr>
            <w:r>
              <w:rPr>
                <w:rFonts w:ascii="Aptos" w:hAnsi="Aptos"/>
                <w:b w:val="0"/>
                <w:i w:val="0"/>
                <w:color w:val="172B4D"/>
                <w:sz w:val="18"/>
              </w:rPr>
              <w:t>Windows desktop host</w:t>
            </w:r>
          </w:p>
        </w:tc>
        <w:tc>
          <w:tcPr>
            <w:tcW w:type="dxa" w:w="3900"/>
            <w:tcMar>
              <w:top w:w="80" w:type="dxa"/>
              <w:start w:w="120" w:type="dxa"/>
              <w:bottom w:w="80" w:type="dxa"/>
              <w:end w:w="120" w:type="dxa"/>
            </w:tcMar>
            <w:vAlign w:val="center"/>
          </w:tcPr>
          <w:p>
            <w:pPr>
              <w:spacing w:after="0"/>
              <w:jc w:val="left"/>
            </w:pPr>
            <w:r>
              <w:rPr>
                <w:rFonts w:ascii="Aptos" w:hAnsi="Aptos"/>
                <w:b w:val="0"/>
                <w:i w:val="0"/>
                <w:color w:val="172B4D"/>
                <w:sz w:val="18"/>
              </w:rPr>
              <w:t>NXT local app/service; scheduled scan command; SQLite database; encrypted secrets; local log and backup folder.</w:t>
            </w:r>
          </w:p>
        </w:tc>
        <w:tc>
          <w:tcPr>
            <w:tcW w:type="dxa" w:w="3560"/>
            <w:tcMar>
              <w:top w:w="80" w:type="dxa"/>
              <w:start w:w="120" w:type="dxa"/>
              <w:bottom w:w="80" w:type="dxa"/>
              <w:end w:w="120" w:type="dxa"/>
            </w:tcMar>
            <w:vAlign w:val="center"/>
          </w:tcPr>
          <w:p>
            <w:pPr>
              <w:spacing w:after="0"/>
              <w:jc w:val="left"/>
            </w:pPr>
            <w:r>
              <w:rPr>
                <w:rFonts w:ascii="Aptos" w:hAnsi="Aptos"/>
                <w:b w:val="0"/>
                <w:i w:val="0"/>
                <w:color w:val="172B4D"/>
                <w:sz w:val="18"/>
              </w:rPr>
              <w:t>Primary MVP runtime. Service must start after login/boot according to Task Scheduler configuration and publish health status.</w:t>
            </w:r>
          </w:p>
        </w:tc>
      </w:tr>
      <w:tr>
        <w:trPr>
          <w:cantSplit/>
        </w:trPr>
        <w:tc>
          <w:tcPr>
            <w:tcW w:type="dxa" w:w="1900"/>
            <w:tcMar>
              <w:top w:w="80" w:type="dxa"/>
              <w:start w:w="120" w:type="dxa"/>
              <w:bottom w:w="80" w:type="dxa"/>
              <w:end w:w="120" w:type="dxa"/>
            </w:tcMar>
            <w:vAlign w:val="center"/>
          </w:tcPr>
          <w:p>
            <w:pPr>
              <w:spacing w:after="0"/>
              <w:jc w:val="center"/>
            </w:pPr>
            <w:r>
              <w:rPr>
                <w:rFonts w:ascii="Aptos" w:hAnsi="Aptos"/>
                <w:b w:val="0"/>
                <w:i w:val="0"/>
                <w:color w:val="172B4D"/>
                <w:sz w:val="18"/>
              </w:rPr>
              <w:t>Binance USD-M</w:t>
            </w:r>
          </w:p>
        </w:tc>
        <w:tc>
          <w:tcPr>
            <w:tcW w:type="dxa" w:w="3900"/>
            <w:tcMar>
              <w:top w:w="80" w:type="dxa"/>
              <w:start w:w="120" w:type="dxa"/>
              <w:bottom w:w="80" w:type="dxa"/>
              <w:end w:w="120" w:type="dxa"/>
            </w:tcMar>
            <w:vAlign w:val="center"/>
          </w:tcPr>
          <w:p>
            <w:pPr>
              <w:spacing w:after="0"/>
              <w:jc w:val="left"/>
            </w:pPr>
            <w:r>
              <w:rPr>
                <w:rFonts w:ascii="Aptos" w:hAnsi="Aptos"/>
                <w:b w:val="0"/>
                <w:i w:val="0"/>
                <w:color w:val="172B4D"/>
                <w:sz w:val="18"/>
              </w:rPr>
              <w:t>Public market data; exchange information; signed REST; user data stream.</w:t>
            </w:r>
          </w:p>
        </w:tc>
        <w:tc>
          <w:tcPr>
            <w:tcW w:type="dxa" w:w="3560"/>
            <w:tcMar>
              <w:top w:w="80" w:type="dxa"/>
              <w:start w:w="120" w:type="dxa"/>
              <w:bottom w:w="80" w:type="dxa"/>
              <w:end w:w="120" w:type="dxa"/>
            </w:tcMar>
            <w:vAlign w:val="center"/>
          </w:tcPr>
          <w:p>
            <w:pPr>
              <w:spacing w:after="0"/>
              <w:jc w:val="left"/>
            </w:pPr>
            <w:r>
              <w:rPr>
                <w:rFonts w:ascii="Aptos" w:hAnsi="Aptos"/>
                <w:b w:val="0"/>
                <w:i w:val="0"/>
                <w:color w:val="172B4D"/>
                <w:sz w:val="18"/>
              </w:rPr>
              <w:t>Execution system of record. All uncertain outcomes reconcile from Binance before another action.</w:t>
            </w:r>
          </w:p>
        </w:tc>
      </w:tr>
      <w:tr>
        <w:trPr>
          <w:cantSplit/>
        </w:trPr>
        <w:tc>
          <w:tcPr>
            <w:tcW w:type="dxa" w:w="1900"/>
            <w:tcMar>
              <w:top w:w="80" w:type="dxa"/>
              <w:start w:w="120" w:type="dxa"/>
              <w:bottom w:w="80" w:type="dxa"/>
              <w:end w:w="120" w:type="dxa"/>
            </w:tcMar>
            <w:vAlign w:val="center"/>
          </w:tcPr>
          <w:p>
            <w:pPr>
              <w:spacing w:after="0"/>
              <w:jc w:val="center"/>
            </w:pPr>
            <w:r>
              <w:rPr>
                <w:rFonts w:ascii="Aptos" w:hAnsi="Aptos"/>
                <w:b w:val="0"/>
                <w:i w:val="0"/>
                <w:color w:val="172B4D"/>
                <w:sz w:val="18"/>
              </w:rPr>
              <w:t>Telegram</w:t>
            </w:r>
          </w:p>
        </w:tc>
        <w:tc>
          <w:tcPr>
            <w:tcW w:type="dxa" w:w="3900"/>
            <w:tcMar>
              <w:top w:w="80" w:type="dxa"/>
              <w:start w:w="120" w:type="dxa"/>
              <w:bottom w:w="80" w:type="dxa"/>
              <w:end w:w="120" w:type="dxa"/>
            </w:tcMar>
            <w:vAlign w:val="center"/>
          </w:tcPr>
          <w:p>
            <w:pPr>
              <w:spacing w:after="0"/>
              <w:jc w:val="left"/>
            </w:pPr>
            <w:r>
              <w:rPr>
                <w:rFonts w:ascii="Aptos" w:hAnsi="Aptos"/>
                <w:b w:val="0"/>
                <w:i w:val="0"/>
                <w:color w:val="172B4D"/>
                <w:sz w:val="18"/>
              </w:rPr>
              <w:t>Bot API outbound notifications and optional review deep-link.</w:t>
            </w:r>
          </w:p>
        </w:tc>
        <w:tc>
          <w:tcPr>
            <w:tcW w:type="dxa" w:w="3560"/>
            <w:tcMar>
              <w:top w:w="80" w:type="dxa"/>
              <w:start w:w="120" w:type="dxa"/>
              <w:bottom w:w="80" w:type="dxa"/>
              <w:end w:w="120" w:type="dxa"/>
            </w:tcMar>
            <w:vAlign w:val="center"/>
          </w:tcPr>
          <w:p>
            <w:pPr>
              <w:spacing w:after="0"/>
              <w:jc w:val="left"/>
            </w:pPr>
            <w:r>
              <w:rPr>
                <w:rFonts w:ascii="Aptos" w:hAnsi="Aptos"/>
                <w:b w:val="0"/>
                <w:i w:val="0"/>
                <w:color w:val="172B4D"/>
                <w:sz w:val="18"/>
              </w:rPr>
              <w:t>Secondary interaction channel. Notification failure must not lose persisted signal/proposal state.</w:t>
            </w:r>
          </w:p>
        </w:tc>
      </w:tr>
    </w:tbl>
    <w:p>
      <w:pPr>
        <w:spacing w:after="20"/>
      </w:pP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8F3EC"/>
          </w:tcPr>
          <w:p>
            <w:pPr>
              <w:spacing w:after="40"/>
            </w:pPr>
            <w:r>
              <w:rPr>
                <w:rFonts w:ascii="Aptos" w:hAnsi="Aptos"/>
                <w:b/>
                <w:i w:val="0"/>
                <w:color w:val="17365D"/>
                <w:sz w:val="21"/>
              </w:rPr>
              <w:t>Desktop boundary</w:t>
            </w:r>
          </w:p>
          <w:p>
            <w:pPr>
              <w:spacing w:after="0"/>
            </w:pPr>
            <w:r>
              <w:rPr>
                <w:rFonts w:ascii="Aptos" w:hAnsi="Aptos"/>
                <w:b w:val="0"/>
                <w:i w:val="0"/>
                <w:color w:val="172B4D"/>
                <w:sz w:val="21"/>
              </w:rPr>
              <w:t>No inbound public internet service is required for MVP. The local app binds to loopback by default. Remote access, public endpoints and cloud workers are not part of this HLD's deployment baseline.</w:t>
            </w:r>
          </w:p>
        </w:tc>
      </w:tr>
    </w:tbl>
    <w:p>
      <w:pPr>
        <w:spacing w:after="20"/>
      </w:pPr>
    </w:p>
    <w:p>
      <w:pPr>
        <w:pStyle w:val="Heading1"/>
      </w:pPr>
      <w:r>
        <w:t>5. Core workflows</w:t>
      </w:r>
    </w:p>
    <w:p>
      <w:pPr>
        <w:pStyle w:val="Heading2"/>
      </w:pPr>
      <w:r>
        <w:t>5.1 Daily scan and proposal</w:t>
      </w:r>
    </w:p>
    <w:tbl>
      <w:tblPr>
        <w:tblStyle w:val="TableGrid"/>
        <w:tblW w:type="dxa" w:w="9360"/>
        <w:jc w:val="left"/>
        <w:tblLayout w:type="fixed"/>
        <w:tblLook w:firstColumn="1" w:firstRow="1" w:lastColumn="0" w:lastRow="0" w:noHBand="0" w:noVBand="1" w:val="04A0"/>
        <w:tblInd w:w="120" w:type="dxa"/>
      </w:tblPr>
      <w:tblGrid>
        <w:gridCol w:w="1000"/>
        <w:gridCol w:w="8360"/>
      </w:tblGrid>
      <w:tr>
        <w:trPr>
          <w:cantSplit/>
          <w:tblHeader w:val="true"/>
        </w:trPr>
        <w:tc>
          <w:tcPr>
            <w:tcW w:type="dxa" w:w="1000"/>
            <w:shd w:fill="F2F4F7"/>
            <w:tcMar>
              <w:top w:w="80" w:type="dxa"/>
              <w:start w:w="120" w:type="dxa"/>
              <w:bottom w:w="80" w:type="dxa"/>
              <w:end w:w="120" w:type="dxa"/>
            </w:tcMar>
            <w:vAlign w:val="center"/>
          </w:tcPr>
          <w:p>
            <w:pPr>
              <w:spacing w:after="0"/>
              <w:jc w:val="center"/>
            </w:pPr>
            <w:r>
              <w:rPr>
                <w:rFonts w:ascii="Aptos" w:hAnsi="Aptos"/>
                <w:b/>
                <w:i w:val="0"/>
                <w:color w:val="172B4D"/>
                <w:sz w:val="18"/>
              </w:rPr>
              <w:t>Step</w:t>
            </w:r>
          </w:p>
        </w:tc>
        <w:tc>
          <w:tcPr>
            <w:tcW w:type="dxa" w:w="8360"/>
            <w:shd w:fill="F2F4F7"/>
            <w:tcMar>
              <w:top w:w="80" w:type="dxa"/>
              <w:start w:w="120" w:type="dxa"/>
              <w:bottom w:w="80" w:type="dxa"/>
              <w:end w:w="120" w:type="dxa"/>
            </w:tcMar>
            <w:vAlign w:val="center"/>
          </w:tcPr>
          <w:p>
            <w:pPr>
              <w:spacing w:after="0"/>
              <w:jc w:val="center"/>
            </w:pPr>
            <w:r>
              <w:rPr>
                <w:rFonts w:ascii="Aptos" w:hAnsi="Aptos"/>
                <w:b/>
                <w:i w:val="0"/>
                <w:color w:val="172B4D"/>
                <w:sz w:val="18"/>
              </w:rPr>
              <w:t>Flow and control</w:t>
            </w:r>
          </w:p>
        </w:tc>
      </w:tr>
      <w:tr>
        <w:trPr>
          <w:cantSplit/>
        </w:trPr>
        <w:tc>
          <w:tcPr>
            <w:tcW w:type="dxa" w:w="1000"/>
            <w:tcMar>
              <w:top w:w="80" w:type="dxa"/>
              <w:start w:w="120" w:type="dxa"/>
              <w:bottom w:w="80" w:type="dxa"/>
              <w:end w:w="120" w:type="dxa"/>
            </w:tcMar>
            <w:vAlign w:val="center"/>
          </w:tcPr>
          <w:p>
            <w:pPr>
              <w:spacing w:after="0"/>
              <w:jc w:val="center"/>
            </w:pPr>
            <w:r>
              <w:rPr>
                <w:rFonts w:ascii="Aptos" w:hAnsi="Aptos"/>
                <w:b w:val="0"/>
                <w:i w:val="0"/>
                <w:color w:val="172B4D"/>
                <w:sz w:val="18"/>
              </w:rPr>
              <w:t>1. Schedule</w:t>
            </w:r>
          </w:p>
        </w:tc>
        <w:tc>
          <w:tcPr>
            <w:tcW w:type="dxa" w:w="8360"/>
            <w:tcMar>
              <w:top w:w="80" w:type="dxa"/>
              <w:start w:w="120" w:type="dxa"/>
              <w:bottom w:w="80" w:type="dxa"/>
              <w:end w:w="120" w:type="dxa"/>
            </w:tcMar>
            <w:vAlign w:val="center"/>
          </w:tcPr>
          <w:p>
            <w:pPr>
              <w:spacing w:after="0"/>
              <w:jc w:val="left"/>
            </w:pPr>
            <w:r>
              <w:rPr>
                <w:rFonts w:ascii="Aptos" w:hAnsi="Aptos"/>
                <w:b w:val="0"/>
                <w:i w:val="0"/>
                <w:color w:val="172B4D"/>
                <w:sz w:val="18"/>
              </w:rPr>
              <w:t>Windows Task Scheduler starts the scan after USD-M 1D candle close (default 07:10 ICT). A ScanRun receives a correlation ID.</w:t>
            </w:r>
          </w:p>
        </w:tc>
      </w:tr>
      <w:tr>
        <w:trPr>
          <w:cantSplit/>
        </w:trPr>
        <w:tc>
          <w:tcPr>
            <w:tcW w:type="dxa" w:w="1000"/>
            <w:tcMar>
              <w:top w:w="80" w:type="dxa"/>
              <w:start w:w="120" w:type="dxa"/>
              <w:bottom w:w="80" w:type="dxa"/>
              <w:end w:w="120" w:type="dxa"/>
            </w:tcMar>
            <w:vAlign w:val="center"/>
          </w:tcPr>
          <w:p>
            <w:pPr>
              <w:spacing w:after="0"/>
              <w:jc w:val="center"/>
            </w:pPr>
            <w:r>
              <w:rPr>
                <w:rFonts w:ascii="Aptos" w:hAnsi="Aptos"/>
                <w:b w:val="0"/>
                <w:i w:val="0"/>
                <w:color w:val="172B4D"/>
                <w:sz w:val="18"/>
              </w:rPr>
              <w:t>2. Data quality</w:t>
            </w:r>
          </w:p>
        </w:tc>
        <w:tc>
          <w:tcPr>
            <w:tcW w:type="dxa" w:w="8360"/>
            <w:tcMar>
              <w:top w:w="80" w:type="dxa"/>
              <w:start w:w="120" w:type="dxa"/>
              <w:bottom w:w="80" w:type="dxa"/>
              <w:end w:w="120" w:type="dxa"/>
            </w:tcMar>
            <w:vAlign w:val="center"/>
          </w:tcPr>
          <w:p>
            <w:pPr>
              <w:spacing w:after="0"/>
              <w:jc w:val="left"/>
            </w:pPr>
            <w:r>
              <w:rPr>
                <w:rFonts w:ascii="Aptos" w:hAnsi="Aptos"/>
                <w:b w:val="0"/>
                <w:i w:val="0"/>
                <w:color w:val="172B4D"/>
                <w:sz w:val="18"/>
              </w:rPr>
              <w:t>Market Data Adapter verifies symbol, source, closed candle, freshness and expected session. Stale/incomplete data produces no new signal and raises an operator alert.</w:t>
            </w:r>
          </w:p>
        </w:tc>
      </w:tr>
      <w:tr>
        <w:trPr>
          <w:cantSplit/>
        </w:trPr>
        <w:tc>
          <w:tcPr>
            <w:tcW w:type="dxa" w:w="1000"/>
            <w:tcMar>
              <w:top w:w="80" w:type="dxa"/>
              <w:start w:w="120" w:type="dxa"/>
              <w:bottom w:w="80" w:type="dxa"/>
              <w:end w:w="120" w:type="dxa"/>
            </w:tcMar>
            <w:vAlign w:val="center"/>
          </w:tcPr>
          <w:p>
            <w:pPr>
              <w:spacing w:after="0"/>
              <w:jc w:val="center"/>
            </w:pPr>
            <w:r>
              <w:rPr>
                <w:rFonts w:ascii="Aptos" w:hAnsi="Aptos"/>
                <w:b w:val="0"/>
                <w:i w:val="0"/>
                <w:color w:val="172B4D"/>
                <w:sz w:val="18"/>
              </w:rPr>
              <w:t>3. Rule evaluation</w:t>
            </w:r>
          </w:p>
        </w:tc>
        <w:tc>
          <w:tcPr>
            <w:tcW w:type="dxa" w:w="8360"/>
            <w:tcMar>
              <w:top w:w="80" w:type="dxa"/>
              <w:start w:w="120" w:type="dxa"/>
              <w:bottom w:w="80" w:type="dxa"/>
              <w:end w:w="120" w:type="dxa"/>
            </w:tcMar>
            <w:vAlign w:val="center"/>
          </w:tcPr>
          <w:p>
            <w:pPr>
              <w:spacing w:after="0"/>
              <w:jc w:val="left"/>
            </w:pPr>
            <w:r>
              <w:rPr>
                <w:rFonts w:ascii="Aptos" w:hAnsi="Aptos"/>
                <w:b w:val="0"/>
                <w:i w:val="0"/>
                <w:color w:val="172B4D"/>
                <w:sz w:val="18"/>
              </w:rPr>
              <w:t>NXT Rule Engine loads the promoted immutable RuleVersion and creates a Signal snapshot only after all E/P/G conditions pass, including G-02.</w:t>
            </w:r>
          </w:p>
        </w:tc>
      </w:tr>
      <w:tr>
        <w:trPr>
          <w:cantSplit/>
        </w:trPr>
        <w:tc>
          <w:tcPr>
            <w:tcW w:type="dxa" w:w="1000"/>
            <w:tcMar>
              <w:top w:w="80" w:type="dxa"/>
              <w:start w:w="120" w:type="dxa"/>
              <w:bottom w:w="80" w:type="dxa"/>
              <w:end w:w="120" w:type="dxa"/>
            </w:tcMar>
            <w:vAlign w:val="center"/>
          </w:tcPr>
          <w:p>
            <w:pPr>
              <w:spacing w:after="0"/>
              <w:jc w:val="center"/>
            </w:pPr>
            <w:r>
              <w:rPr>
                <w:rFonts w:ascii="Aptos" w:hAnsi="Aptos"/>
                <w:b w:val="0"/>
                <w:i w:val="0"/>
                <w:color w:val="172B4D"/>
                <w:sz w:val="18"/>
              </w:rPr>
              <w:t>4. Proposal</w:t>
            </w:r>
          </w:p>
        </w:tc>
        <w:tc>
          <w:tcPr>
            <w:tcW w:type="dxa" w:w="8360"/>
            <w:tcMar>
              <w:top w:w="80" w:type="dxa"/>
              <w:start w:w="120" w:type="dxa"/>
              <w:bottom w:w="80" w:type="dxa"/>
              <w:end w:w="120" w:type="dxa"/>
            </w:tcMar>
            <w:vAlign w:val="center"/>
          </w:tcPr>
          <w:p>
            <w:pPr>
              <w:spacing w:after="0"/>
              <w:jc w:val="left"/>
            </w:pPr>
            <w:r>
              <w:rPr>
                <w:rFonts w:ascii="Aptos" w:hAnsi="Aptos"/>
                <w:b w:val="0"/>
                <w:i w:val="0"/>
                <w:color w:val="172B4D"/>
                <w:sz w:val="18"/>
              </w:rPr>
              <w:t>Risk Engine reads account snapshot, open-risk cap, exchange filters and policy; it computes quantity, notional, isolated margin requirement, leverage constraint, SL/TP1 and expiry.</w:t>
            </w:r>
          </w:p>
        </w:tc>
      </w:tr>
      <w:tr>
        <w:trPr>
          <w:cantSplit/>
        </w:trPr>
        <w:tc>
          <w:tcPr>
            <w:tcW w:type="dxa" w:w="1000"/>
            <w:tcMar>
              <w:top w:w="80" w:type="dxa"/>
              <w:start w:w="120" w:type="dxa"/>
              <w:bottom w:w="80" w:type="dxa"/>
              <w:end w:w="120" w:type="dxa"/>
            </w:tcMar>
            <w:vAlign w:val="center"/>
          </w:tcPr>
          <w:p>
            <w:pPr>
              <w:spacing w:after="0"/>
              <w:jc w:val="center"/>
            </w:pPr>
            <w:r>
              <w:rPr>
                <w:rFonts w:ascii="Aptos" w:hAnsi="Aptos"/>
                <w:b w:val="0"/>
                <w:i w:val="0"/>
                <w:color w:val="172B4D"/>
                <w:sz w:val="18"/>
              </w:rPr>
              <w:t>5. Persist then notify</w:t>
            </w:r>
          </w:p>
        </w:tc>
        <w:tc>
          <w:tcPr>
            <w:tcW w:type="dxa" w:w="8360"/>
            <w:tcMar>
              <w:top w:w="80" w:type="dxa"/>
              <w:start w:w="120" w:type="dxa"/>
              <w:bottom w:w="80" w:type="dxa"/>
              <w:end w:w="120" w:type="dxa"/>
            </w:tcMar>
            <w:vAlign w:val="center"/>
          </w:tcPr>
          <w:p>
            <w:pPr>
              <w:spacing w:after="0"/>
              <w:jc w:val="left"/>
            </w:pPr>
            <w:r>
              <w:rPr>
                <w:rFonts w:ascii="Aptos" w:hAnsi="Aptos"/>
                <w:b w:val="0"/>
                <w:i w:val="0"/>
                <w:color w:val="172B4D"/>
                <w:sz w:val="18"/>
              </w:rPr>
              <w:t>Workflow persists Signal and OrderProposal before Telegram/local UI notification. Signal deduplication uses versioned deterministic keys.</w:t>
            </w:r>
          </w:p>
        </w:tc>
      </w:tr>
      <w:tr>
        <w:trPr>
          <w:cantSplit/>
        </w:trPr>
        <w:tc>
          <w:tcPr>
            <w:tcW w:type="dxa" w:w="1000"/>
            <w:tcMar>
              <w:top w:w="80" w:type="dxa"/>
              <w:start w:w="120" w:type="dxa"/>
              <w:bottom w:w="80" w:type="dxa"/>
              <w:end w:w="120" w:type="dxa"/>
            </w:tcMar>
            <w:vAlign w:val="center"/>
          </w:tcPr>
          <w:p>
            <w:pPr>
              <w:spacing w:after="0"/>
              <w:jc w:val="center"/>
            </w:pPr>
            <w:r>
              <w:rPr>
                <w:rFonts w:ascii="Aptos" w:hAnsi="Aptos"/>
                <w:b w:val="0"/>
                <w:i w:val="0"/>
                <w:color w:val="172B4D"/>
                <w:sz w:val="18"/>
              </w:rPr>
              <w:t>6. Decision</w:t>
            </w:r>
          </w:p>
        </w:tc>
        <w:tc>
          <w:tcPr>
            <w:tcW w:type="dxa" w:w="8360"/>
            <w:tcMar>
              <w:top w:w="80" w:type="dxa"/>
              <w:start w:w="120" w:type="dxa"/>
              <w:bottom w:w="80" w:type="dxa"/>
              <w:end w:w="120" w:type="dxa"/>
            </w:tcMar>
            <w:vAlign w:val="center"/>
          </w:tcPr>
          <w:p>
            <w:pPr>
              <w:spacing w:after="0"/>
              <w:jc w:val="left"/>
            </w:pPr>
            <w:r>
              <w:rPr>
                <w:rFonts w:ascii="Aptos" w:hAnsi="Aptos"/>
                <w:b w:val="0"/>
                <w:i w:val="0"/>
                <w:color w:val="172B4D"/>
                <w:sz w:val="18"/>
              </w:rPr>
              <w:t>Trader approves/rejects the exact proposal hash. A changed price, expired proposal, changed policy or changed levels invalidates approval.</w:t>
            </w:r>
          </w:p>
        </w:tc>
      </w:tr>
    </w:tbl>
    <w:p>
      <w:pPr>
        <w:spacing w:after="20"/>
      </w:pPr>
    </w:p>
    <w:p>
      <w:pPr>
        <w:pStyle w:val="Heading2"/>
      </w:pPr>
      <w:r>
        <w:t>5.2 Execution and protection</w:t>
      </w:r>
    </w:p>
    <w:tbl>
      <w:tblPr>
        <w:tblStyle w:val="TableGrid"/>
        <w:tblW w:type="dxa" w:w="9360"/>
        <w:jc w:val="left"/>
        <w:tblLayout w:type="fixed"/>
        <w:tblLook w:firstColumn="1" w:firstRow="1" w:lastColumn="0" w:lastRow="0" w:noHBand="0" w:noVBand="1" w:val="04A0"/>
        <w:tblInd w:w="120" w:type="dxa"/>
      </w:tblPr>
      <w:tblGrid>
        <w:gridCol w:w="1500"/>
        <w:gridCol w:w="7860"/>
      </w:tblGrid>
      <w:tr>
        <w:trPr>
          <w:cantSplit/>
          <w:tblHeader w:val="true"/>
        </w:trPr>
        <w:tc>
          <w:tcPr>
            <w:tcW w:type="dxa" w:w="1500"/>
            <w:shd w:fill="F2F4F7"/>
            <w:tcMar>
              <w:top w:w="80" w:type="dxa"/>
              <w:start w:w="120" w:type="dxa"/>
              <w:bottom w:w="80" w:type="dxa"/>
              <w:end w:w="120" w:type="dxa"/>
            </w:tcMar>
            <w:vAlign w:val="center"/>
          </w:tcPr>
          <w:p>
            <w:pPr>
              <w:spacing w:after="0"/>
              <w:jc w:val="center"/>
            </w:pPr>
            <w:r>
              <w:rPr>
                <w:rFonts w:ascii="Aptos" w:hAnsi="Aptos"/>
                <w:b/>
                <w:i w:val="0"/>
                <w:color w:val="172B4D"/>
                <w:sz w:val="18"/>
              </w:rPr>
              <w:t>Step</w:t>
            </w:r>
          </w:p>
        </w:tc>
        <w:tc>
          <w:tcPr>
            <w:tcW w:type="dxa" w:w="7860"/>
            <w:shd w:fill="F2F4F7"/>
            <w:tcMar>
              <w:top w:w="80" w:type="dxa"/>
              <w:start w:w="120" w:type="dxa"/>
              <w:bottom w:w="80" w:type="dxa"/>
              <w:end w:w="120" w:type="dxa"/>
            </w:tcMar>
            <w:vAlign w:val="center"/>
          </w:tcPr>
          <w:p>
            <w:pPr>
              <w:spacing w:after="0"/>
              <w:jc w:val="center"/>
            </w:pPr>
            <w:r>
              <w:rPr>
                <w:rFonts w:ascii="Aptos" w:hAnsi="Aptos"/>
                <w:b/>
                <w:i w:val="0"/>
                <w:color w:val="172B4D"/>
                <w:sz w:val="18"/>
              </w:rPr>
              <w:t>Flow and control</w:t>
            </w:r>
          </w:p>
        </w:tc>
      </w:tr>
      <w:tr>
        <w:trPr>
          <w:cantSplit/>
        </w:trPr>
        <w:tc>
          <w:tcPr>
            <w:tcW w:type="dxa" w:w="1500"/>
            <w:tcMar>
              <w:top w:w="80" w:type="dxa"/>
              <w:start w:w="120" w:type="dxa"/>
              <w:bottom w:w="80" w:type="dxa"/>
              <w:end w:w="120" w:type="dxa"/>
            </w:tcMar>
            <w:vAlign w:val="center"/>
          </w:tcPr>
          <w:p>
            <w:pPr>
              <w:spacing w:after="0"/>
              <w:jc w:val="center"/>
            </w:pPr>
            <w:r>
              <w:rPr>
                <w:rFonts w:ascii="Aptos" w:hAnsi="Aptos"/>
                <w:b w:val="0"/>
                <w:i w:val="0"/>
                <w:color w:val="172B4D"/>
                <w:sz w:val="18"/>
              </w:rPr>
              <w:t>1. Pre-trade revalidation</w:t>
            </w:r>
          </w:p>
        </w:tc>
        <w:tc>
          <w:tcPr>
            <w:tcW w:type="dxa" w:w="7860"/>
            <w:tcMar>
              <w:top w:w="80" w:type="dxa"/>
              <w:start w:w="120" w:type="dxa"/>
              <w:bottom w:w="80" w:type="dxa"/>
              <w:end w:w="120" w:type="dxa"/>
            </w:tcMar>
            <w:vAlign w:val="center"/>
          </w:tcPr>
          <w:p>
            <w:pPr>
              <w:spacing w:after="0"/>
              <w:jc w:val="left"/>
            </w:pPr>
            <w:r>
              <w:rPr>
                <w:rFonts w:ascii="Aptos" w:hAnsi="Aptos"/>
                <w:b w:val="0"/>
                <w:i w:val="0"/>
                <w:color w:val="172B4D"/>
                <w:sz w:val="18"/>
              </w:rPr>
              <w:t>Execution Gateway rechecks API permission, server time, account/margin, position state, leverage/margin mode, price deviation, filters, risk limits and idempotency.</w:t>
            </w:r>
          </w:p>
        </w:tc>
      </w:tr>
      <w:tr>
        <w:trPr>
          <w:cantSplit/>
        </w:trPr>
        <w:tc>
          <w:tcPr>
            <w:tcW w:type="dxa" w:w="1500"/>
            <w:tcMar>
              <w:top w:w="80" w:type="dxa"/>
              <w:start w:w="120" w:type="dxa"/>
              <w:bottom w:w="80" w:type="dxa"/>
              <w:end w:w="120" w:type="dxa"/>
            </w:tcMar>
            <w:vAlign w:val="center"/>
          </w:tcPr>
          <w:p>
            <w:pPr>
              <w:spacing w:after="0"/>
              <w:jc w:val="center"/>
            </w:pPr>
            <w:r>
              <w:rPr>
                <w:rFonts w:ascii="Aptos" w:hAnsi="Aptos"/>
                <w:b w:val="0"/>
                <w:i w:val="0"/>
                <w:color w:val="172B4D"/>
                <w:sz w:val="18"/>
              </w:rPr>
              <w:t>2. Entry</w:t>
            </w:r>
          </w:p>
        </w:tc>
        <w:tc>
          <w:tcPr>
            <w:tcW w:type="dxa" w:w="7860"/>
            <w:tcMar>
              <w:top w:w="80" w:type="dxa"/>
              <w:start w:w="120" w:type="dxa"/>
              <w:bottom w:w="80" w:type="dxa"/>
              <w:end w:w="120" w:type="dxa"/>
            </w:tcMar>
            <w:vAlign w:val="center"/>
          </w:tcPr>
          <w:p>
            <w:pPr>
              <w:spacing w:after="0"/>
              <w:jc w:val="left"/>
            </w:pPr>
            <w:r>
              <w:rPr>
                <w:rFonts w:ascii="Aptos" w:hAnsi="Aptos"/>
                <w:b w:val="0"/>
                <w:i w:val="0"/>
                <w:color w:val="172B4D"/>
                <w:sz w:val="18"/>
              </w:rPr>
              <w:t>Gateway writes clientOrderId before submit. A timeout or 5xx is an unknown outcome: query order and user stream before retrying.</w:t>
            </w:r>
          </w:p>
        </w:tc>
      </w:tr>
      <w:tr>
        <w:trPr>
          <w:cantSplit/>
        </w:trPr>
        <w:tc>
          <w:tcPr>
            <w:tcW w:type="dxa" w:w="1500"/>
            <w:tcMar>
              <w:top w:w="80" w:type="dxa"/>
              <w:start w:w="120" w:type="dxa"/>
              <w:bottom w:w="80" w:type="dxa"/>
              <w:end w:w="120" w:type="dxa"/>
            </w:tcMar>
            <w:vAlign w:val="center"/>
          </w:tcPr>
          <w:p>
            <w:pPr>
              <w:spacing w:after="0"/>
              <w:jc w:val="center"/>
            </w:pPr>
            <w:r>
              <w:rPr>
                <w:rFonts w:ascii="Aptos" w:hAnsi="Aptos"/>
                <w:b w:val="0"/>
                <w:i w:val="0"/>
                <w:color w:val="172B4D"/>
                <w:sz w:val="18"/>
              </w:rPr>
              <w:t>3. Fill handling</w:t>
            </w:r>
          </w:p>
        </w:tc>
        <w:tc>
          <w:tcPr>
            <w:tcW w:type="dxa" w:w="7860"/>
            <w:tcMar>
              <w:top w:w="80" w:type="dxa"/>
              <w:start w:w="120" w:type="dxa"/>
              <w:bottom w:w="80" w:type="dxa"/>
              <w:end w:w="120" w:type="dxa"/>
            </w:tcMar>
            <w:vAlign w:val="center"/>
          </w:tcPr>
          <w:p>
            <w:pPr>
              <w:spacing w:after="0"/>
              <w:jc w:val="left"/>
            </w:pPr>
            <w:r>
              <w:rPr>
                <w:rFonts w:ascii="Aptos" w:hAnsi="Aptos"/>
                <w:b w:val="0"/>
                <w:i w:val="0"/>
                <w:color w:val="172B4D"/>
                <w:sz w:val="18"/>
              </w:rPr>
              <w:t>Actual fills update Position and ExchangeOrder. Partial fill quantity becomes the maximum size for protective orders.</w:t>
            </w:r>
          </w:p>
        </w:tc>
      </w:tr>
      <w:tr>
        <w:trPr>
          <w:cantSplit/>
        </w:trPr>
        <w:tc>
          <w:tcPr>
            <w:tcW w:type="dxa" w:w="1500"/>
            <w:tcMar>
              <w:top w:w="80" w:type="dxa"/>
              <w:start w:w="120" w:type="dxa"/>
              <w:bottom w:w="80" w:type="dxa"/>
              <w:end w:w="120" w:type="dxa"/>
            </w:tcMar>
            <w:vAlign w:val="center"/>
          </w:tcPr>
          <w:p>
            <w:pPr>
              <w:spacing w:after="0"/>
              <w:jc w:val="center"/>
            </w:pPr>
            <w:r>
              <w:rPr>
                <w:rFonts w:ascii="Aptos" w:hAnsi="Aptos"/>
                <w:b w:val="0"/>
                <w:i w:val="0"/>
                <w:color w:val="172B4D"/>
                <w:sz w:val="18"/>
              </w:rPr>
              <w:t>4. Protection</w:t>
            </w:r>
          </w:p>
        </w:tc>
        <w:tc>
          <w:tcPr>
            <w:tcW w:type="dxa" w:w="7860"/>
            <w:tcMar>
              <w:top w:w="80" w:type="dxa"/>
              <w:start w:w="120" w:type="dxa"/>
              <w:bottom w:w="80" w:type="dxa"/>
              <w:end w:w="120" w:type="dxa"/>
            </w:tcMar>
            <w:vAlign w:val="center"/>
          </w:tcPr>
          <w:p>
            <w:pPr>
              <w:spacing w:after="0"/>
              <w:jc w:val="left"/>
            </w:pPr>
            <w:r>
              <w:rPr>
                <w:rFonts w:ascii="Aptos" w:hAnsi="Aptos"/>
                <w:b w:val="0"/>
                <w:i w:val="0"/>
                <w:color w:val="172B4D"/>
                <w:sz w:val="18"/>
              </w:rPr>
              <w:t>Create reduce-only SL and TP1 immediately. Rejection creates Critical state, blocks new entries and follows owner-approved fail-safe policy.</w:t>
            </w:r>
          </w:p>
        </w:tc>
      </w:tr>
      <w:tr>
        <w:trPr>
          <w:cantSplit/>
        </w:trPr>
        <w:tc>
          <w:tcPr>
            <w:tcW w:type="dxa" w:w="1500"/>
            <w:tcMar>
              <w:top w:w="80" w:type="dxa"/>
              <w:start w:w="120" w:type="dxa"/>
              <w:bottom w:w="80" w:type="dxa"/>
              <w:end w:w="120" w:type="dxa"/>
            </w:tcMar>
            <w:vAlign w:val="center"/>
          </w:tcPr>
          <w:p>
            <w:pPr>
              <w:spacing w:after="0"/>
              <w:jc w:val="center"/>
            </w:pPr>
            <w:r>
              <w:rPr>
                <w:rFonts w:ascii="Aptos" w:hAnsi="Aptos"/>
                <w:b w:val="0"/>
                <w:i w:val="0"/>
                <w:color w:val="172B4D"/>
                <w:sz w:val="18"/>
              </w:rPr>
              <w:t>5. Exit lifecycle</w:t>
            </w:r>
          </w:p>
        </w:tc>
        <w:tc>
          <w:tcPr>
            <w:tcW w:type="dxa" w:w="7860"/>
            <w:tcMar>
              <w:top w:w="80" w:type="dxa"/>
              <w:start w:w="120" w:type="dxa"/>
              <w:bottom w:w="80" w:type="dxa"/>
              <w:end w:w="120" w:type="dxa"/>
            </w:tcMar>
            <w:vAlign w:val="center"/>
          </w:tcPr>
          <w:p>
            <w:pPr>
              <w:spacing w:after="0"/>
              <w:jc w:val="left"/>
            </w:pPr>
            <w:r>
              <w:rPr>
                <w:rFonts w:ascii="Aptos" w:hAnsi="Aptos"/>
                <w:b w:val="0"/>
                <w:i w:val="0"/>
                <w:color w:val="172B4D"/>
                <w:sz w:val="18"/>
              </w:rPr>
              <w:t>Monitor detects TP1, Early-BE, stop and SSL runner action. Action is a recommendation or automated only at the approved automation level.</w:t>
            </w:r>
          </w:p>
        </w:tc>
      </w:tr>
    </w:tbl>
    <w:p>
      <w:pPr>
        <w:spacing w:after="20"/>
      </w:pPr>
    </w:p>
    <w:p>
      <w:pPr>
        <w:pStyle w:val="Heading2"/>
      </w:pPr>
      <w:r>
        <w:t>5.3 Monitoring and reconciliation</w:t>
      </w:r>
    </w:p>
    <w:p>
      <w:pPr>
        <w:pStyle w:val="ListBullet"/>
      </w:pPr>
      <w:r>
        <w:rPr>
          <w:rFonts w:ascii="Aptos" w:hAnsi="Aptos"/>
          <w:b w:val="0"/>
          <w:i w:val="0"/>
          <w:color w:val="172B4D"/>
          <w:sz w:val="21"/>
        </w:rPr>
        <w:t>User data stream is the low-latency feed for orders, fills and account/position changes; REST reconciliation repairs gaps after disconnect or restart.</w:t>
      </w:r>
    </w:p>
    <w:p>
      <w:pPr>
        <w:pStyle w:val="ListBullet"/>
      </w:pPr>
      <w:r>
        <w:rPr>
          <w:rFonts w:ascii="Aptos" w:hAnsi="Aptos"/>
          <w:b w:val="0"/>
          <w:i w:val="0"/>
          <w:color w:val="172B4D"/>
          <w:sz w:val="21"/>
        </w:rPr>
        <w:t>Binance is the source of truth for actual orders, fills and positions. Internal state is a reconciled projection, not a substitute for exchange facts.</w:t>
      </w:r>
    </w:p>
    <w:p>
      <w:pPr>
        <w:pStyle w:val="ListBullet"/>
      </w:pPr>
      <w:r>
        <w:rPr>
          <w:rFonts w:ascii="Aptos" w:hAnsi="Aptos"/>
          <w:b w:val="0"/>
          <w:i w:val="0"/>
          <w:color w:val="172B4D"/>
          <w:sz w:val="21"/>
        </w:rPr>
        <w:t>Every daily close runs a position recommendation using the entry RuleVersion or an explicit migration record. A new latest version cannot silently change an open position's policy.</w:t>
      </w:r>
    </w:p>
    <w:p>
      <w:pPr>
        <w:pStyle w:val="ListBullet"/>
      </w:pPr>
      <w:r>
        <w:rPr>
          <w:rFonts w:ascii="Aptos" w:hAnsi="Aptos"/>
          <w:b w:val="0"/>
          <w:i w:val="0"/>
          <w:color w:val="172B4D"/>
          <w:sz w:val="21"/>
        </w:rPr>
        <w:t>Any mismatch, ambiguous response, stale data or rejected protective order becomes Needs Review and suppresses dependent automation.</w:t>
      </w:r>
    </w:p>
    <w:p>
      <w:pPr>
        <w:pStyle w:val="Heading1"/>
      </w:pPr>
      <w:r>
        <w:t>6. Data architecture</w:t>
      </w:r>
    </w:p>
    <w:tbl>
      <w:tblPr>
        <w:tblStyle w:val="TableGrid"/>
        <w:tblW w:type="dxa" w:w="9360"/>
        <w:jc w:val="left"/>
        <w:tblLayout w:type="fixed"/>
        <w:tblLook w:firstColumn="1" w:firstRow="1" w:lastColumn="0" w:lastRow="0" w:noHBand="0" w:noVBand="1" w:val="04A0"/>
        <w:tblInd w:w="120" w:type="dxa"/>
      </w:tblPr>
      <w:tblGrid>
        <w:gridCol w:w="1800"/>
        <w:gridCol w:w="4750"/>
        <w:gridCol w:w="2810"/>
      </w:tblGrid>
      <w:tr>
        <w:trPr>
          <w:cantSplit/>
          <w:tblHeader w:val="true"/>
        </w:trPr>
        <w:tc>
          <w:tcPr>
            <w:tcW w:type="dxa" w:w="1800"/>
            <w:shd w:fill="F2F4F7"/>
            <w:tcMar>
              <w:top w:w="80" w:type="dxa"/>
              <w:start w:w="120" w:type="dxa"/>
              <w:bottom w:w="80" w:type="dxa"/>
              <w:end w:w="120" w:type="dxa"/>
            </w:tcMar>
            <w:vAlign w:val="center"/>
          </w:tcPr>
          <w:p>
            <w:pPr>
              <w:spacing w:after="0"/>
              <w:jc w:val="center"/>
            </w:pPr>
            <w:r>
              <w:rPr>
                <w:rFonts w:ascii="Aptos" w:hAnsi="Aptos"/>
                <w:b/>
                <w:i w:val="0"/>
                <w:color w:val="172B4D"/>
                <w:sz w:val="18"/>
              </w:rPr>
              <w:t>Entity</w:t>
            </w:r>
          </w:p>
        </w:tc>
        <w:tc>
          <w:tcPr>
            <w:tcW w:type="dxa" w:w="4750"/>
            <w:shd w:fill="F2F4F7"/>
            <w:tcMar>
              <w:top w:w="80" w:type="dxa"/>
              <w:start w:w="120" w:type="dxa"/>
              <w:bottom w:w="80" w:type="dxa"/>
              <w:end w:w="120" w:type="dxa"/>
            </w:tcMar>
            <w:vAlign w:val="center"/>
          </w:tcPr>
          <w:p>
            <w:pPr>
              <w:spacing w:after="0"/>
              <w:jc w:val="center"/>
            </w:pPr>
            <w:r>
              <w:rPr>
                <w:rFonts w:ascii="Aptos" w:hAnsi="Aptos"/>
                <w:b/>
                <w:i w:val="0"/>
                <w:color w:val="172B4D"/>
                <w:sz w:val="18"/>
              </w:rPr>
              <w:t>Key contents</w:t>
            </w:r>
          </w:p>
        </w:tc>
        <w:tc>
          <w:tcPr>
            <w:tcW w:type="dxa" w:w="2810"/>
            <w:shd w:fill="F2F4F7"/>
            <w:tcMar>
              <w:top w:w="80" w:type="dxa"/>
              <w:start w:w="120" w:type="dxa"/>
              <w:bottom w:w="80" w:type="dxa"/>
              <w:end w:w="120" w:type="dxa"/>
            </w:tcMar>
            <w:vAlign w:val="center"/>
          </w:tcPr>
          <w:p>
            <w:pPr>
              <w:spacing w:after="0"/>
              <w:jc w:val="center"/>
            </w:pPr>
            <w:r>
              <w:rPr>
                <w:rFonts w:ascii="Aptos" w:hAnsi="Aptos"/>
                <w:b/>
                <w:i w:val="0"/>
                <w:color w:val="172B4D"/>
                <w:sz w:val="18"/>
              </w:rPr>
              <w:t>Control</w:t>
            </w:r>
          </w:p>
        </w:tc>
      </w:tr>
      <w:tr>
        <w:trPr>
          <w:cantSplit/>
        </w:trPr>
        <w:tc>
          <w:tcPr>
            <w:tcW w:type="dxa" w:w="1800"/>
            <w:tcMar>
              <w:top w:w="80" w:type="dxa"/>
              <w:start w:w="120" w:type="dxa"/>
              <w:bottom w:w="80" w:type="dxa"/>
              <w:end w:w="120" w:type="dxa"/>
            </w:tcMar>
            <w:vAlign w:val="center"/>
          </w:tcPr>
          <w:p>
            <w:pPr>
              <w:spacing w:after="0"/>
              <w:jc w:val="center"/>
            </w:pPr>
            <w:r>
              <w:rPr>
                <w:rFonts w:ascii="Aptos" w:hAnsi="Aptos"/>
                <w:b w:val="0"/>
                <w:i w:val="0"/>
                <w:color w:val="172B4D"/>
                <w:sz w:val="18"/>
              </w:rPr>
              <w:t>RuleVersion</w:t>
            </w:r>
          </w:p>
        </w:tc>
        <w:tc>
          <w:tcPr>
            <w:tcW w:type="dxa" w:w="4750"/>
            <w:tcMar>
              <w:top w:w="80" w:type="dxa"/>
              <w:start w:w="120" w:type="dxa"/>
              <w:bottom w:w="80" w:type="dxa"/>
              <w:end w:w="120" w:type="dxa"/>
            </w:tcMar>
            <w:vAlign w:val="center"/>
          </w:tcPr>
          <w:p>
            <w:pPr>
              <w:spacing w:after="0"/>
              <w:jc w:val="left"/>
            </w:pPr>
            <w:r>
              <w:rPr>
                <w:rFonts w:ascii="Aptos" w:hAnsi="Aptos"/>
                <w:b w:val="0"/>
                <w:i w:val="0"/>
                <w:color w:val="172B4D"/>
                <w:sz w:val="18"/>
              </w:rPr>
              <w:t>version, parameters, USD-M contract/session, system document hash, promotedAt</w:t>
            </w:r>
          </w:p>
        </w:tc>
        <w:tc>
          <w:tcPr>
            <w:tcW w:type="dxa" w:w="2810"/>
            <w:tcMar>
              <w:top w:w="80" w:type="dxa"/>
              <w:start w:w="120" w:type="dxa"/>
              <w:bottom w:w="80" w:type="dxa"/>
              <w:end w:w="120" w:type="dxa"/>
            </w:tcMar>
            <w:vAlign w:val="center"/>
          </w:tcPr>
          <w:p>
            <w:pPr>
              <w:spacing w:after="0"/>
              <w:jc w:val="left"/>
            </w:pPr>
            <w:r>
              <w:rPr>
                <w:rFonts w:ascii="Aptos" w:hAnsi="Aptos"/>
                <w:b w:val="0"/>
                <w:i w:val="0"/>
                <w:color w:val="172B4D"/>
                <w:sz w:val="18"/>
              </w:rPr>
              <w:t>Immutable and retained indefinitely.</w:t>
            </w:r>
          </w:p>
        </w:tc>
      </w:tr>
      <w:tr>
        <w:trPr>
          <w:cantSplit/>
        </w:trPr>
        <w:tc>
          <w:tcPr>
            <w:tcW w:type="dxa" w:w="1800"/>
            <w:tcMar>
              <w:top w:w="80" w:type="dxa"/>
              <w:start w:w="120" w:type="dxa"/>
              <w:bottom w:w="80" w:type="dxa"/>
              <w:end w:w="120" w:type="dxa"/>
            </w:tcMar>
            <w:vAlign w:val="center"/>
          </w:tcPr>
          <w:p>
            <w:pPr>
              <w:spacing w:after="0"/>
              <w:jc w:val="center"/>
            </w:pPr>
            <w:r>
              <w:rPr>
                <w:rFonts w:ascii="Aptos" w:hAnsi="Aptos"/>
                <w:b w:val="0"/>
                <w:i w:val="0"/>
                <w:color w:val="172B4D"/>
                <w:sz w:val="18"/>
              </w:rPr>
              <w:t>ScanRun</w:t>
            </w:r>
          </w:p>
        </w:tc>
        <w:tc>
          <w:tcPr>
            <w:tcW w:type="dxa" w:w="4750"/>
            <w:tcMar>
              <w:top w:w="80" w:type="dxa"/>
              <w:start w:w="120" w:type="dxa"/>
              <w:bottom w:w="80" w:type="dxa"/>
              <w:end w:w="120" w:type="dxa"/>
            </w:tcMar>
            <w:vAlign w:val="center"/>
          </w:tcPr>
          <w:p>
            <w:pPr>
              <w:spacing w:after="0"/>
              <w:jc w:val="left"/>
            </w:pPr>
            <w:r>
              <w:rPr>
                <w:rFonts w:ascii="Aptos" w:hAnsi="Aptos"/>
                <w:b w:val="0"/>
                <w:i w:val="0"/>
                <w:color w:val="172B4D"/>
                <w:sz w:val="18"/>
              </w:rPr>
              <w:t>runId, candle date, symbols, source/freshness, status, errors, duration</w:t>
            </w:r>
          </w:p>
        </w:tc>
        <w:tc>
          <w:tcPr>
            <w:tcW w:type="dxa" w:w="2810"/>
            <w:tcMar>
              <w:top w:w="80" w:type="dxa"/>
              <w:start w:w="120" w:type="dxa"/>
              <w:bottom w:w="80" w:type="dxa"/>
              <w:end w:w="120" w:type="dxa"/>
            </w:tcMar>
            <w:vAlign w:val="center"/>
          </w:tcPr>
          <w:p>
            <w:pPr>
              <w:spacing w:after="0"/>
              <w:jc w:val="left"/>
            </w:pPr>
            <w:r>
              <w:rPr>
                <w:rFonts w:ascii="Aptos" w:hAnsi="Aptos"/>
                <w:b w:val="0"/>
                <w:i w:val="0"/>
                <w:color w:val="172B4D"/>
                <w:sz w:val="18"/>
              </w:rPr>
              <w:t>Unique run ID; operational retention at least two years.</w:t>
            </w:r>
          </w:p>
        </w:tc>
      </w:tr>
      <w:tr>
        <w:trPr>
          <w:cantSplit/>
        </w:trPr>
        <w:tc>
          <w:tcPr>
            <w:tcW w:type="dxa" w:w="1800"/>
            <w:tcMar>
              <w:top w:w="80" w:type="dxa"/>
              <w:start w:w="120" w:type="dxa"/>
              <w:bottom w:w="80" w:type="dxa"/>
              <w:end w:w="120" w:type="dxa"/>
            </w:tcMar>
            <w:vAlign w:val="center"/>
          </w:tcPr>
          <w:p>
            <w:pPr>
              <w:spacing w:after="0"/>
              <w:jc w:val="center"/>
            </w:pPr>
            <w:r>
              <w:rPr>
                <w:rFonts w:ascii="Aptos" w:hAnsi="Aptos"/>
                <w:b w:val="0"/>
                <w:i w:val="0"/>
                <w:color w:val="172B4D"/>
                <w:sz w:val="18"/>
              </w:rPr>
              <w:t>Signal</w:t>
            </w:r>
          </w:p>
        </w:tc>
        <w:tc>
          <w:tcPr>
            <w:tcW w:type="dxa" w:w="4750"/>
            <w:tcMar>
              <w:top w:w="80" w:type="dxa"/>
              <w:start w:w="120" w:type="dxa"/>
              <w:bottom w:w="80" w:type="dxa"/>
              <w:end w:w="120" w:type="dxa"/>
            </w:tcMar>
            <w:vAlign w:val="center"/>
          </w:tcPr>
          <w:p>
            <w:pPr>
              <w:spacing w:after="0"/>
              <w:jc w:val="left"/>
            </w:pPr>
            <w:r>
              <w:rPr>
                <w:rFonts w:ascii="Aptos" w:hAnsi="Aptos"/>
                <w:b w:val="0"/>
                <w:i w:val="0"/>
                <w:color w:val="172B4D"/>
                <w:sz w:val="18"/>
              </w:rPr>
              <w:t>deterministic signalId, RuleVersion, indicator snapshot, guard rationale, levels</w:t>
            </w:r>
          </w:p>
        </w:tc>
        <w:tc>
          <w:tcPr>
            <w:tcW w:type="dxa" w:w="2810"/>
            <w:tcMar>
              <w:top w:w="80" w:type="dxa"/>
              <w:start w:w="120" w:type="dxa"/>
              <w:bottom w:w="80" w:type="dxa"/>
              <w:end w:w="120" w:type="dxa"/>
            </w:tcMar>
            <w:vAlign w:val="center"/>
          </w:tcPr>
          <w:p>
            <w:pPr>
              <w:spacing w:after="0"/>
              <w:jc w:val="left"/>
            </w:pPr>
            <w:r>
              <w:rPr>
                <w:rFonts w:ascii="Aptos" w:hAnsi="Aptos"/>
                <w:b w:val="0"/>
                <w:i w:val="0"/>
                <w:color w:val="172B4D"/>
                <w:sz w:val="18"/>
              </w:rPr>
              <w:t>Immutable once detected; deduplicated by source + rule version.</w:t>
            </w:r>
          </w:p>
        </w:tc>
      </w:tr>
      <w:tr>
        <w:trPr>
          <w:cantSplit/>
        </w:trPr>
        <w:tc>
          <w:tcPr>
            <w:tcW w:type="dxa" w:w="1800"/>
            <w:tcMar>
              <w:top w:w="80" w:type="dxa"/>
              <w:start w:w="120" w:type="dxa"/>
              <w:bottom w:w="80" w:type="dxa"/>
              <w:end w:w="120" w:type="dxa"/>
            </w:tcMar>
            <w:vAlign w:val="center"/>
          </w:tcPr>
          <w:p>
            <w:pPr>
              <w:spacing w:after="0"/>
              <w:jc w:val="center"/>
            </w:pPr>
            <w:r>
              <w:rPr>
                <w:rFonts w:ascii="Aptos" w:hAnsi="Aptos"/>
                <w:b w:val="0"/>
                <w:i w:val="0"/>
                <w:color w:val="172B4D"/>
                <w:sz w:val="18"/>
              </w:rPr>
              <w:t>OrderProposal / Decision</w:t>
            </w:r>
          </w:p>
        </w:tc>
        <w:tc>
          <w:tcPr>
            <w:tcW w:type="dxa" w:w="4750"/>
            <w:tcMar>
              <w:top w:w="80" w:type="dxa"/>
              <w:start w:w="120" w:type="dxa"/>
              <w:bottom w:w="80" w:type="dxa"/>
              <w:end w:w="120" w:type="dxa"/>
            </w:tcMar>
            <w:vAlign w:val="center"/>
          </w:tcPr>
          <w:p>
            <w:pPr>
              <w:spacing w:after="0"/>
              <w:jc w:val="left"/>
            </w:pPr>
            <w:r>
              <w:rPr>
                <w:rFonts w:ascii="Aptos" w:hAnsi="Aptos"/>
                <w:b w:val="0"/>
                <w:i w:val="0"/>
                <w:color w:val="172B4D"/>
                <w:sz w:val="18"/>
              </w:rPr>
              <w:t>proposal hash, quantity, risk, expiry, decision actor/channel/time</w:t>
            </w:r>
          </w:p>
        </w:tc>
        <w:tc>
          <w:tcPr>
            <w:tcW w:type="dxa" w:w="2810"/>
            <w:tcMar>
              <w:top w:w="80" w:type="dxa"/>
              <w:start w:w="120" w:type="dxa"/>
              <w:bottom w:w="80" w:type="dxa"/>
              <w:end w:w="120" w:type="dxa"/>
            </w:tcMar>
            <w:vAlign w:val="center"/>
          </w:tcPr>
          <w:p>
            <w:pPr>
              <w:spacing w:after="0"/>
              <w:jc w:val="left"/>
            </w:pPr>
            <w:r>
              <w:rPr>
                <w:rFonts w:ascii="Aptos" w:hAnsi="Aptos"/>
                <w:b w:val="0"/>
                <w:i w:val="0"/>
                <w:color w:val="172B4D"/>
                <w:sz w:val="18"/>
              </w:rPr>
              <w:t>No in-place change after approval. New values require new proposal/decision.</w:t>
            </w:r>
          </w:p>
        </w:tc>
      </w:tr>
      <w:tr>
        <w:trPr>
          <w:cantSplit/>
        </w:trPr>
        <w:tc>
          <w:tcPr>
            <w:tcW w:type="dxa" w:w="1800"/>
            <w:tcMar>
              <w:top w:w="80" w:type="dxa"/>
              <w:start w:w="120" w:type="dxa"/>
              <w:bottom w:w="80" w:type="dxa"/>
              <w:end w:w="120" w:type="dxa"/>
            </w:tcMar>
            <w:vAlign w:val="center"/>
          </w:tcPr>
          <w:p>
            <w:pPr>
              <w:spacing w:after="0"/>
              <w:jc w:val="center"/>
            </w:pPr>
            <w:r>
              <w:rPr>
                <w:rFonts w:ascii="Aptos" w:hAnsi="Aptos"/>
                <w:b w:val="0"/>
                <w:i w:val="0"/>
                <w:color w:val="172B4D"/>
                <w:sz w:val="18"/>
              </w:rPr>
              <w:t>ExchangeOrder / Position</w:t>
            </w:r>
          </w:p>
        </w:tc>
        <w:tc>
          <w:tcPr>
            <w:tcW w:type="dxa" w:w="4750"/>
            <w:tcMar>
              <w:top w:w="80" w:type="dxa"/>
              <w:start w:w="120" w:type="dxa"/>
              <w:bottom w:w="80" w:type="dxa"/>
              <w:end w:w="120" w:type="dxa"/>
            </w:tcMar>
            <w:vAlign w:val="center"/>
          </w:tcPr>
          <w:p>
            <w:pPr>
              <w:spacing w:after="0"/>
              <w:jc w:val="left"/>
            </w:pPr>
            <w:r>
              <w:rPr>
                <w:rFonts w:ascii="Aptos" w:hAnsi="Aptos"/>
                <w:b w:val="0"/>
                <w:i w:val="0"/>
                <w:color w:val="172B4D"/>
                <w:sz w:val="18"/>
              </w:rPr>
              <w:t>clientOrderId, Binance order ID, fills, protective order IDs, actual quantity/lifecycle</w:t>
            </w:r>
          </w:p>
        </w:tc>
        <w:tc>
          <w:tcPr>
            <w:tcW w:type="dxa" w:w="2810"/>
            <w:tcMar>
              <w:top w:w="80" w:type="dxa"/>
              <w:start w:w="120" w:type="dxa"/>
              <w:bottom w:w="80" w:type="dxa"/>
              <w:end w:w="120" w:type="dxa"/>
            </w:tcMar>
            <w:vAlign w:val="center"/>
          </w:tcPr>
          <w:p>
            <w:pPr>
              <w:spacing w:after="0"/>
              <w:jc w:val="left"/>
            </w:pPr>
            <w:r>
              <w:rPr>
                <w:rFonts w:ascii="Aptos" w:hAnsi="Aptos"/>
                <w:b w:val="0"/>
                <w:i w:val="0"/>
                <w:color w:val="172B4D"/>
                <w:sz w:val="18"/>
              </w:rPr>
              <w:t>Reconciled with exchange events and REST snapshots.</w:t>
            </w:r>
          </w:p>
        </w:tc>
      </w:tr>
      <w:tr>
        <w:trPr>
          <w:cantSplit/>
        </w:trPr>
        <w:tc>
          <w:tcPr>
            <w:tcW w:type="dxa" w:w="1800"/>
            <w:tcMar>
              <w:top w:w="80" w:type="dxa"/>
              <w:start w:w="120" w:type="dxa"/>
              <w:bottom w:w="80" w:type="dxa"/>
              <w:end w:w="120" w:type="dxa"/>
            </w:tcMar>
            <w:vAlign w:val="center"/>
          </w:tcPr>
          <w:p>
            <w:pPr>
              <w:spacing w:after="0"/>
              <w:jc w:val="center"/>
            </w:pPr>
            <w:r>
              <w:rPr>
                <w:rFonts w:ascii="Aptos" w:hAnsi="Aptos"/>
                <w:b w:val="0"/>
                <w:i w:val="0"/>
                <w:color w:val="172B4D"/>
                <w:sz w:val="18"/>
              </w:rPr>
              <w:t>Recommendation / AuditEvent</w:t>
            </w:r>
          </w:p>
        </w:tc>
        <w:tc>
          <w:tcPr>
            <w:tcW w:type="dxa" w:w="4750"/>
            <w:tcMar>
              <w:top w:w="80" w:type="dxa"/>
              <w:start w:w="120" w:type="dxa"/>
              <w:bottom w:w="80" w:type="dxa"/>
              <w:end w:w="120" w:type="dxa"/>
            </w:tcMar>
            <w:vAlign w:val="center"/>
          </w:tcPr>
          <w:p>
            <w:pPr>
              <w:spacing w:after="0"/>
              <w:jc w:val="left"/>
            </w:pPr>
            <w:r>
              <w:rPr>
                <w:rFonts w:ascii="Aptos" w:hAnsi="Aptos"/>
                <w:b w:val="0"/>
                <w:i w:val="0"/>
                <w:color w:val="172B4D"/>
                <w:sz w:val="18"/>
              </w:rPr>
              <w:t>action rationale, automation level, status; actor, before/after, correlation ID</w:t>
            </w:r>
          </w:p>
        </w:tc>
        <w:tc>
          <w:tcPr>
            <w:tcW w:type="dxa" w:w="2810"/>
            <w:tcMar>
              <w:top w:w="80" w:type="dxa"/>
              <w:start w:w="120" w:type="dxa"/>
              <w:bottom w:w="80" w:type="dxa"/>
              <w:end w:w="120" w:type="dxa"/>
            </w:tcMar>
            <w:vAlign w:val="center"/>
          </w:tcPr>
          <w:p>
            <w:pPr>
              <w:spacing w:after="0"/>
              <w:jc w:val="left"/>
            </w:pPr>
            <w:r>
              <w:rPr>
                <w:rFonts w:ascii="Aptos" w:hAnsi="Aptos"/>
                <w:b w:val="0"/>
                <w:i w:val="0"/>
                <w:color w:val="172B4D"/>
                <w:sz w:val="18"/>
              </w:rPr>
              <w:t>Append-only; supports investigation and weekly audit.</w:t>
            </w:r>
          </w:p>
        </w:tc>
      </w:tr>
    </w:tbl>
    <w:p>
      <w:pPr>
        <w:spacing w:after="20"/>
      </w:pP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4D6"/>
          </w:tcPr>
          <w:p>
            <w:pPr>
              <w:spacing w:after="40"/>
            </w:pPr>
            <w:r>
              <w:rPr>
                <w:rFonts w:ascii="Aptos" w:hAnsi="Aptos"/>
                <w:b/>
                <w:i w:val="0"/>
                <w:color w:val="17365D"/>
                <w:sz w:val="21"/>
              </w:rPr>
              <w:t>Local storage selection</w:t>
            </w:r>
          </w:p>
          <w:p>
            <w:pPr>
              <w:spacing w:after="0"/>
            </w:pPr>
            <w:r>
              <w:rPr>
                <w:rFonts w:ascii="Aptos" w:hAnsi="Aptos"/>
                <w:b w:val="0"/>
                <w:i w:val="0"/>
                <w:color w:val="172B4D"/>
                <w:sz w:val="21"/>
              </w:rPr>
              <w:t>Proposed MVP store: SQLite in WAL mode with transactional writes, periodic encrypted backup/export and a migration layer. This meets the single-host desktop scope while preserving a future move to a managed database if cloud is approved.</w:t>
            </w:r>
          </w:p>
        </w:tc>
      </w:tr>
    </w:tbl>
    <w:p>
      <w:pPr>
        <w:spacing w:after="20"/>
      </w:pPr>
    </w:p>
    <w:p>
      <w:pPr>
        <w:pStyle w:val="Heading1"/>
      </w:pPr>
      <w:r>
        <w:t>7. Interfaces and integration boundaries</w:t>
      </w:r>
    </w:p>
    <w:tbl>
      <w:tblPr>
        <w:tblStyle w:val="TableGrid"/>
        <w:tblW w:type="dxa" w:w="9360"/>
        <w:jc w:val="left"/>
        <w:tblLayout w:type="fixed"/>
        <w:tblLook w:firstColumn="1" w:firstRow="1" w:lastColumn="0" w:lastRow="0" w:noHBand="0" w:noVBand="1" w:val="04A0"/>
        <w:tblInd w:w="120" w:type="dxa"/>
      </w:tblPr>
      <w:tblGrid>
        <w:gridCol w:w="2100"/>
        <w:gridCol w:w="1700"/>
        <w:gridCol w:w="5560"/>
      </w:tblGrid>
      <w:tr>
        <w:trPr>
          <w:cantSplit/>
          <w:tblHeader w:val="true"/>
        </w:trPr>
        <w:tc>
          <w:tcPr>
            <w:tcW w:type="dxa" w:w="2100"/>
            <w:shd w:fill="F2F4F7"/>
            <w:tcMar>
              <w:top w:w="80" w:type="dxa"/>
              <w:start w:w="120" w:type="dxa"/>
              <w:bottom w:w="80" w:type="dxa"/>
              <w:end w:w="120" w:type="dxa"/>
            </w:tcMar>
            <w:vAlign w:val="center"/>
          </w:tcPr>
          <w:p>
            <w:pPr>
              <w:spacing w:after="0"/>
              <w:jc w:val="center"/>
            </w:pPr>
            <w:r>
              <w:rPr>
                <w:rFonts w:ascii="Aptos" w:hAnsi="Aptos"/>
                <w:b/>
                <w:i w:val="0"/>
                <w:color w:val="172B4D"/>
                <w:sz w:val="18"/>
              </w:rPr>
              <w:t>Interface</w:t>
            </w:r>
          </w:p>
        </w:tc>
        <w:tc>
          <w:tcPr>
            <w:tcW w:type="dxa" w:w="1700"/>
            <w:shd w:fill="F2F4F7"/>
            <w:tcMar>
              <w:top w:w="80" w:type="dxa"/>
              <w:start w:w="120" w:type="dxa"/>
              <w:bottom w:w="80" w:type="dxa"/>
              <w:end w:w="120" w:type="dxa"/>
            </w:tcMar>
            <w:vAlign w:val="center"/>
          </w:tcPr>
          <w:p>
            <w:pPr>
              <w:spacing w:after="0"/>
              <w:jc w:val="center"/>
            </w:pPr>
            <w:r>
              <w:rPr>
                <w:rFonts w:ascii="Aptos" w:hAnsi="Aptos"/>
                <w:b/>
                <w:i w:val="0"/>
                <w:color w:val="172B4D"/>
                <w:sz w:val="18"/>
              </w:rPr>
              <w:t>Direction</w:t>
            </w:r>
          </w:p>
        </w:tc>
        <w:tc>
          <w:tcPr>
            <w:tcW w:type="dxa" w:w="5560"/>
            <w:shd w:fill="F2F4F7"/>
            <w:tcMar>
              <w:top w:w="80" w:type="dxa"/>
              <w:start w:w="120" w:type="dxa"/>
              <w:bottom w:w="80" w:type="dxa"/>
              <w:end w:w="120" w:type="dxa"/>
            </w:tcMar>
            <w:vAlign w:val="center"/>
          </w:tcPr>
          <w:p>
            <w:pPr>
              <w:spacing w:after="0"/>
              <w:jc w:val="center"/>
            </w:pPr>
            <w:r>
              <w:rPr>
                <w:rFonts w:ascii="Aptos" w:hAnsi="Aptos"/>
                <w:b/>
                <w:i w:val="0"/>
                <w:color w:val="172B4D"/>
                <w:sz w:val="18"/>
              </w:rPr>
              <w:t>Purpose and resilience</w:t>
            </w:r>
          </w:p>
        </w:tc>
      </w:tr>
      <w:tr>
        <w:trPr>
          <w:cantSplit/>
        </w:trPr>
        <w:tc>
          <w:tcPr>
            <w:tcW w:type="dxa" w:w="2100"/>
            <w:tcMar>
              <w:top w:w="80" w:type="dxa"/>
              <w:start w:w="120" w:type="dxa"/>
              <w:bottom w:w="80" w:type="dxa"/>
              <w:end w:w="120" w:type="dxa"/>
            </w:tcMar>
            <w:vAlign w:val="center"/>
          </w:tcPr>
          <w:p>
            <w:pPr>
              <w:spacing w:after="0"/>
              <w:jc w:val="center"/>
            </w:pPr>
            <w:r>
              <w:rPr>
                <w:rFonts w:ascii="Aptos" w:hAnsi="Aptos"/>
                <w:b w:val="0"/>
                <w:i w:val="0"/>
                <w:color w:val="172B4D"/>
                <w:sz w:val="18"/>
              </w:rPr>
              <w:t>USD-M market data</w:t>
            </w:r>
          </w:p>
        </w:tc>
        <w:tc>
          <w:tcPr>
            <w:tcW w:type="dxa" w:w="1700"/>
            <w:tcMar>
              <w:top w:w="80" w:type="dxa"/>
              <w:start w:w="120" w:type="dxa"/>
              <w:bottom w:w="80" w:type="dxa"/>
              <w:end w:w="120" w:type="dxa"/>
            </w:tcMar>
            <w:vAlign w:val="center"/>
          </w:tcPr>
          <w:p>
            <w:pPr>
              <w:spacing w:after="0"/>
              <w:jc w:val="left"/>
            </w:pPr>
            <w:r>
              <w:rPr>
                <w:rFonts w:ascii="Aptos" w:hAnsi="Aptos"/>
                <w:b w:val="0"/>
                <w:i w:val="0"/>
                <w:color w:val="172B4D"/>
                <w:sz w:val="18"/>
              </w:rPr>
              <w:t>Outbound read</w:t>
            </w:r>
          </w:p>
        </w:tc>
        <w:tc>
          <w:tcPr>
            <w:tcW w:type="dxa" w:w="5560"/>
            <w:tcMar>
              <w:top w:w="80" w:type="dxa"/>
              <w:start w:w="120" w:type="dxa"/>
              <w:bottom w:w="80" w:type="dxa"/>
              <w:end w:w="120" w:type="dxa"/>
            </w:tcMar>
            <w:vAlign w:val="center"/>
          </w:tcPr>
          <w:p>
            <w:pPr>
              <w:spacing w:after="0"/>
              <w:jc w:val="left"/>
            </w:pPr>
            <w:r>
              <w:rPr>
                <w:rFonts w:ascii="Aptos" w:hAnsi="Aptos"/>
                <w:b w:val="0"/>
                <w:i w:val="0"/>
                <w:color w:val="172B4D"/>
                <w:sz w:val="18"/>
              </w:rPr>
              <w:t>Fetch candles and exchange info. Validate closed bar and freshness; cache may support display only, never new signal generation when stale.</w:t>
            </w:r>
          </w:p>
        </w:tc>
      </w:tr>
      <w:tr>
        <w:trPr>
          <w:cantSplit/>
        </w:trPr>
        <w:tc>
          <w:tcPr>
            <w:tcW w:type="dxa" w:w="2100"/>
            <w:tcMar>
              <w:top w:w="80" w:type="dxa"/>
              <w:start w:w="120" w:type="dxa"/>
              <w:bottom w:w="80" w:type="dxa"/>
              <w:end w:w="120" w:type="dxa"/>
            </w:tcMar>
            <w:vAlign w:val="center"/>
          </w:tcPr>
          <w:p>
            <w:pPr>
              <w:spacing w:after="0"/>
              <w:jc w:val="center"/>
            </w:pPr>
            <w:r>
              <w:rPr>
                <w:rFonts w:ascii="Aptos" w:hAnsi="Aptos"/>
                <w:b w:val="0"/>
                <w:i w:val="0"/>
                <w:color w:val="172B4D"/>
                <w:sz w:val="18"/>
              </w:rPr>
              <w:t>USD-M trading/account</w:t>
            </w:r>
          </w:p>
        </w:tc>
        <w:tc>
          <w:tcPr>
            <w:tcW w:type="dxa" w:w="1700"/>
            <w:tcMar>
              <w:top w:w="80" w:type="dxa"/>
              <w:start w:w="120" w:type="dxa"/>
              <w:bottom w:w="80" w:type="dxa"/>
              <w:end w:w="120" w:type="dxa"/>
            </w:tcMar>
            <w:vAlign w:val="center"/>
          </w:tcPr>
          <w:p>
            <w:pPr>
              <w:spacing w:after="0"/>
              <w:jc w:val="left"/>
            </w:pPr>
            <w:r>
              <w:rPr>
                <w:rFonts w:ascii="Aptos" w:hAnsi="Aptos"/>
                <w:b w:val="0"/>
                <w:i w:val="0"/>
                <w:color w:val="172B4D"/>
                <w:sz w:val="18"/>
              </w:rPr>
              <w:t>Outbound signed REST</w:t>
            </w:r>
          </w:p>
        </w:tc>
        <w:tc>
          <w:tcPr>
            <w:tcW w:type="dxa" w:w="5560"/>
            <w:tcMar>
              <w:top w:w="80" w:type="dxa"/>
              <w:start w:w="120" w:type="dxa"/>
              <w:bottom w:w="80" w:type="dxa"/>
              <w:end w:w="120" w:type="dxa"/>
            </w:tcMar>
            <w:vAlign w:val="center"/>
          </w:tcPr>
          <w:p>
            <w:pPr>
              <w:spacing w:after="0"/>
              <w:jc w:val="left"/>
            </w:pPr>
            <w:r>
              <w:rPr>
                <w:rFonts w:ascii="Aptos" w:hAnsi="Aptos"/>
                <w:b w:val="0"/>
                <w:i w:val="0"/>
                <w:color w:val="172B4D"/>
                <w:sz w:val="18"/>
              </w:rPr>
              <w:t>Query account/order status; submit/cancel/replace approved orders; use clientOrderId and query-before-retry.</w:t>
            </w:r>
          </w:p>
        </w:tc>
      </w:tr>
      <w:tr>
        <w:trPr>
          <w:cantSplit/>
        </w:trPr>
        <w:tc>
          <w:tcPr>
            <w:tcW w:type="dxa" w:w="2100"/>
            <w:tcMar>
              <w:top w:w="80" w:type="dxa"/>
              <w:start w:w="120" w:type="dxa"/>
              <w:bottom w:w="80" w:type="dxa"/>
              <w:end w:w="120" w:type="dxa"/>
            </w:tcMar>
            <w:vAlign w:val="center"/>
          </w:tcPr>
          <w:p>
            <w:pPr>
              <w:spacing w:after="0"/>
              <w:jc w:val="center"/>
            </w:pPr>
            <w:r>
              <w:rPr>
                <w:rFonts w:ascii="Aptos" w:hAnsi="Aptos"/>
                <w:b w:val="0"/>
                <w:i w:val="0"/>
                <w:color w:val="172B4D"/>
                <w:sz w:val="18"/>
              </w:rPr>
              <w:t>USD-M user data stream</w:t>
            </w:r>
          </w:p>
        </w:tc>
        <w:tc>
          <w:tcPr>
            <w:tcW w:type="dxa" w:w="1700"/>
            <w:tcMar>
              <w:top w:w="80" w:type="dxa"/>
              <w:start w:w="120" w:type="dxa"/>
              <w:bottom w:w="80" w:type="dxa"/>
              <w:end w:w="120" w:type="dxa"/>
            </w:tcMar>
            <w:vAlign w:val="center"/>
          </w:tcPr>
          <w:p>
            <w:pPr>
              <w:spacing w:after="0"/>
              <w:jc w:val="left"/>
            </w:pPr>
            <w:r>
              <w:rPr>
                <w:rFonts w:ascii="Aptos" w:hAnsi="Aptos"/>
                <w:b w:val="0"/>
                <w:i w:val="0"/>
                <w:color w:val="172B4D"/>
                <w:sz w:val="18"/>
              </w:rPr>
              <w:t>Inbound event</w:t>
            </w:r>
          </w:p>
        </w:tc>
        <w:tc>
          <w:tcPr>
            <w:tcW w:type="dxa" w:w="5560"/>
            <w:tcMar>
              <w:top w:w="80" w:type="dxa"/>
              <w:start w:w="120" w:type="dxa"/>
              <w:bottom w:w="80" w:type="dxa"/>
              <w:end w:w="120" w:type="dxa"/>
            </w:tcMar>
            <w:vAlign w:val="center"/>
          </w:tcPr>
          <w:p>
            <w:pPr>
              <w:spacing w:after="0"/>
              <w:jc w:val="left"/>
            </w:pPr>
            <w:r>
              <w:rPr>
                <w:rFonts w:ascii="Aptos" w:hAnsi="Aptos"/>
                <w:b w:val="0"/>
                <w:i w:val="0"/>
                <w:color w:val="172B4D"/>
                <w:sz w:val="18"/>
              </w:rPr>
              <w:t>Receive account/order/fill events; reconnect and backfill via REST when sequence or connectivity is uncertain.</w:t>
            </w:r>
          </w:p>
        </w:tc>
      </w:tr>
      <w:tr>
        <w:trPr>
          <w:cantSplit/>
        </w:trPr>
        <w:tc>
          <w:tcPr>
            <w:tcW w:type="dxa" w:w="2100"/>
            <w:tcMar>
              <w:top w:w="80" w:type="dxa"/>
              <w:start w:w="120" w:type="dxa"/>
              <w:bottom w:w="80" w:type="dxa"/>
              <w:end w:w="120" w:type="dxa"/>
            </w:tcMar>
            <w:vAlign w:val="center"/>
          </w:tcPr>
          <w:p>
            <w:pPr>
              <w:spacing w:after="0"/>
              <w:jc w:val="center"/>
            </w:pPr>
            <w:r>
              <w:rPr>
                <w:rFonts w:ascii="Aptos" w:hAnsi="Aptos"/>
                <w:b w:val="0"/>
                <w:i w:val="0"/>
                <w:color w:val="172B4D"/>
                <w:sz w:val="18"/>
              </w:rPr>
              <w:t>Telegram Bot API</w:t>
            </w:r>
          </w:p>
        </w:tc>
        <w:tc>
          <w:tcPr>
            <w:tcW w:type="dxa" w:w="1700"/>
            <w:tcMar>
              <w:top w:w="80" w:type="dxa"/>
              <w:start w:w="120" w:type="dxa"/>
              <w:bottom w:w="80" w:type="dxa"/>
              <w:end w:w="120" w:type="dxa"/>
            </w:tcMar>
            <w:vAlign w:val="center"/>
          </w:tcPr>
          <w:p>
            <w:pPr>
              <w:spacing w:after="0"/>
              <w:jc w:val="left"/>
            </w:pPr>
            <w:r>
              <w:rPr>
                <w:rFonts w:ascii="Aptos" w:hAnsi="Aptos"/>
                <w:b w:val="0"/>
                <w:i w:val="0"/>
                <w:color w:val="172B4D"/>
                <w:sz w:val="18"/>
              </w:rPr>
              <w:t>Outbound notification</w:t>
            </w:r>
          </w:p>
        </w:tc>
        <w:tc>
          <w:tcPr>
            <w:tcW w:type="dxa" w:w="5560"/>
            <w:tcMar>
              <w:top w:w="80" w:type="dxa"/>
              <w:start w:w="120" w:type="dxa"/>
              <w:bottom w:w="80" w:type="dxa"/>
              <w:end w:w="120" w:type="dxa"/>
            </w:tcMar>
            <w:vAlign w:val="center"/>
          </w:tcPr>
          <w:p>
            <w:pPr>
              <w:spacing w:after="0"/>
              <w:jc w:val="left"/>
            </w:pPr>
            <w:r>
              <w:rPr>
                <w:rFonts w:ascii="Aptos" w:hAnsi="Aptos"/>
                <w:b w:val="0"/>
                <w:i w:val="0"/>
                <w:color w:val="172B4D"/>
                <w:sz w:val="18"/>
              </w:rPr>
              <w:t>Signal, decision, fill and critical alerts. Retry delivery independently of business state persistence.</w:t>
            </w:r>
          </w:p>
        </w:tc>
      </w:tr>
      <w:tr>
        <w:trPr>
          <w:cantSplit/>
        </w:trPr>
        <w:tc>
          <w:tcPr>
            <w:tcW w:type="dxa" w:w="2100"/>
            <w:tcMar>
              <w:top w:w="80" w:type="dxa"/>
              <w:start w:w="120" w:type="dxa"/>
              <w:bottom w:w="80" w:type="dxa"/>
              <w:end w:w="120" w:type="dxa"/>
            </w:tcMar>
            <w:vAlign w:val="center"/>
          </w:tcPr>
          <w:p>
            <w:pPr>
              <w:spacing w:after="0"/>
              <w:jc w:val="center"/>
            </w:pPr>
            <w:r>
              <w:rPr>
                <w:rFonts w:ascii="Aptos" w:hAnsi="Aptos"/>
                <w:b w:val="0"/>
                <w:i w:val="0"/>
                <w:color w:val="172B4D"/>
                <w:sz w:val="18"/>
              </w:rPr>
              <w:t>Local app API</w:t>
            </w:r>
          </w:p>
        </w:tc>
        <w:tc>
          <w:tcPr>
            <w:tcW w:type="dxa" w:w="1700"/>
            <w:tcMar>
              <w:top w:w="80" w:type="dxa"/>
              <w:start w:w="120" w:type="dxa"/>
              <w:bottom w:w="80" w:type="dxa"/>
              <w:end w:w="120" w:type="dxa"/>
            </w:tcMar>
            <w:vAlign w:val="center"/>
          </w:tcPr>
          <w:p>
            <w:pPr>
              <w:spacing w:after="0"/>
              <w:jc w:val="left"/>
            </w:pPr>
            <w:r>
              <w:rPr>
                <w:rFonts w:ascii="Aptos" w:hAnsi="Aptos"/>
                <w:b w:val="0"/>
                <w:i w:val="0"/>
                <w:color w:val="172B4D"/>
                <w:sz w:val="18"/>
              </w:rPr>
              <w:t>Loopback only</w:t>
            </w:r>
          </w:p>
        </w:tc>
        <w:tc>
          <w:tcPr>
            <w:tcW w:type="dxa" w:w="5560"/>
            <w:tcMar>
              <w:top w:w="80" w:type="dxa"/>
              <w:start w:w="120" w:type="dxa"/>
              <w:bottom w:w="80" w:type="dxa"/>
              <w:end w:w="120" w:type="dxa"/>
            </w:tcMar>
            <w:vAlign w:val="center"/>
          </w:tcPr>
          <w:p>
            <w:pPr>
              <w:spacing w:after="0"/>
              <w:jc w:val="left"/>
            </w:pPr>
            <w:r>
              <w:rPr>
                <w:rFonts w:ascii="Aptos" w:hAnsi="Aptos"/>
                <w:b w:val="0"/>
                <w:i w:val="0"/>
                <w:color w:val="172B4D"/>
                <w:sz w:val="18"/>
              </w:rPr>
              <w:t>UI reads business state and records permitted user actions. No public listener in MVP.</w:t>
            </w:r>
          </w:p>
        </w:tc>
      </w:tr>
    </w:tbl>
    <w:p>
      <w:pPr>
        <w:spacing w:after="20"/>
      </w:pPr>
    </w:p>
    <w:p>
      <w:pPr>
        <w:pStyle w:val="Heading1"/>
      </w:pPr>
      <w:r>
        <w:t>8. Security, risk and resilience</w:t>
      </w:r>
    </w:p>
    <w:tbl>
      <w:tblPr>
        <w:tblStyle w:val="TableGrid"/>
        <w:tblW w:type="dxa" w:w="9360"/>
        <w:jc w:val="left"/>
        <w:tblLayout w:type="fixed"/>
        <w:tblLook w:firstColumn="1" w:firstRow="1" w:lastColumn="0" w:lastRow="0" w:noHBand="0" w:noVBand="1" w:val="04A0"/>
        <w:tblInd w:w="120" w:type="dxa"/>
      </w:tblPr>
      <w:tblGrid>
        <w:gridCol w:w="2600"/>
        <w:gridCol w:w="6760"/>
      </w:tblGrid>
      <w:tr>
        <w:trPr>
          <w:cantSplit/>
          <w:tblHeader w:val="true"/>
        </w:trPr>
        <w:tc>
          <w:tcPr>
            <w:tcW w:type="dxa" w:w="2600"/>
            <w:shd w:fill="F2F4F7"/>
            <w:tcMar>
              <w:top w:w="80" w:type="dxa"/>
              <w:start w:w="120" w:type="dxa"/>
              <w:bottom w:w="80" w:type="dxa"/>
              <w:end w:w="120" w:type="dxa"/>
            </w:tcMar>
            <w:vAlign w:val="center"/>
          </w:tcPr>
          <w:p>
            <w:pPr>
              <w:spacing w:after="0"/>
              <w:jc w:val="center"/>
            </w:pPr>
            <w:r>
              <w:rPr>
                <w:rFonts w:ascii="Aptos" w:hAnsi="Aptos"/>
                <w:b/>
                <w:i w:val="0"/>
                <w:color w:val="172B4D"/>
                <w:sz w:val="18"/>
              </w:rPr>
              <w:t>Concern</w:t>
            </w:r>
          </w:p>
        </w:tc>
        <w:tc>
          <w:tcPr>
            <w:tcW w:type="dxa" w:w="6760"/>
            <w:shd w:fill="F2F4F7"/>
            <w:tcMar>
              <w:top w:w="80" w:type="dxa"/>
              <w:start w:w="120" w:type="dxa"/>
              <w:bottom w:w="80" w:type="dxa"/>
              <w:end w:w="120" w:type="dxa"/>
            </w:tcMar>
            <w:vAlign w:val="center"/>
          </w:tcPr>
          <w:p>
            <w:pPr>
              <w:spacing w:after="0"/>
              <w:jc w:val="center"/>
            </w:pPr>
            <w:r>
              <w:rPr>
                <w:rFonts w:ascii="Aptos" w:hAnsi="Aptos"/>
                <w:b/>
                <w:i w:val="0"/>
                <w:color w:val="172B4D"/>
                <w:sz w:val="18"/>
              </w:rPr>
              <w:t>Design control</w:t>
            </w:r>
          </w:p>
        </w:tc>
      </w:tr>
      <w:tr>
        <w:trPr>
          <w:cantSplit/>
        </w:trPr>
        <w:tc>
          <w:tcPr>
            <w:tcW w:type="dxa" w:w="2600"/>
            <w:tcMar>
              <w:top w:w="80" w:type="dxa"/>
              <w:start w:w="120" w:type="dxa"/>
              <w:bottom w:w="80" w:type="dxa"/>
              <w:end w:w="120" w:type="dxa"/>
            </w:tcMar>
            <w:vAlign w:val="center"/>
          </w:tcPr>
          <w:p>
            <w:pPr>
              <w:spacing w:after="0"/>
              <w:jc w:val="center"/>
            </w:pPr>
            <w:r>
              <w:rPr>
                <w:rFonts w:ascii="Aptos" w:hAnsi="Aptos"/>
                <w:b w:val="0"/>
                <w:i w:val="0"/>
                <w:color w:val="172B4D"/>
                <w:sz w:val="18"/>
              </w:rPr>
              <w:t>Secrets</w:t>
            </w:r>
          </w:p>
        </w:tc>
        <w:tc>
          <w:tcPr>
            <w:tcW w:type="dxa" w:w="6760"/>
            <w:tcMar>
              <w:top w:w="80" w:type="dxa"/>
              <w:start w:w="120" w:type="dxa"/>
              <w:bottom w:w="80" w:type="dxa"/>
              <w:end w:w="120" w:type="dxa"/>
            </w:tcMar>
            <w:vAlign w:val="center"/>
          </w:tcPr>
          <w:p>
            <w:pPr>
              <w:spacing w:after="0"/>
              <w:jc w:val="left"/>
            </w:pPr>
            <w:r>
              <w:rPr>
                <w:rFonts w:ascii="Aptos" w:hAnsi="Aptos"/>
                <w:b w:val="0"/>
                <w:i w:val="0"/>
                <w:color w:val="172B4D"/>
                <w:sz w:val="18"/>
              </w:rPr>
              <w:t>Store API credentials in Windows Credential Manager/DPAPI-backed storage; never in source, SQLite, exports or logs. Keys must lack withdrawal permission.</w:t>
            </w:r>
          </w:p>
        </w:tc>
      </w:tr>
      <w:tr>
        <w:trPr>
          <w:cantSplit/>
        </w:trPr>
        <w:tc>
          <w:tcPr>
            <w:tcW w:type="dxa" w:w="2600"/>
            <w:tcMar>
              <w:top w:w="80" w:type="dxa"/>
              <w:start w:w="120" w:type="dxa"/>
              <w:bottom w:w="80" w:type="dxa"/>
              <w:end w:w="120" w:type="dxa"/>
            </w:tcMar>
            <w:vAlign w:val="center"/>
          </w:tcPr>
          <w:p>
            <w:pPr>
              <w:spacing w:after="0"/>
              <w:jc w:val="center"/>
            </w:pPr>
            <w:r>
              <w:rPr>
                <w:rFonts w:ascii="Aptos" w:hAnsi="Aptos"/>
                <w:b w:val="0"/>
                <w:i w:val="0"/>
                <w:color w:val="172B4D"/>
                <w:sz w:val="18"/>
              </w:rPr>
              <w:t>Environment separation</w:t>
            </w:r>
          </w:p>
        </w:tc>
        <w:tc>
          <w:tcPr>
            <w:tcW w:type="dxa" w:w="6760"/>
            <w:tcMar>
              <w:top w:w="80" w:type="dxa"/>
              <w:start w:w="120" w:type="dxa"/>
              <w:bottom w:w="80" w:type="dxa"/>
              <w:end w:w="120" w:type="dxa"/>
            </w:tcMar>
            <w:vAlign w:val="center"/>
          </w:tcPr>
          <w:p>
            <w:pPr>
              <w:spacing w:after="0"/>
              <w:jc w:val="left"/>
            </w:pPr>
            <w:r>
              <w:rPr>
                <w:rFonts w:ascii="Aptos" w:hAnsi="Aptos"/>
                <w:b w:val="0"/>
                <w:i w:val="0"/>
                <w:color w:val="172B4D"/>
                <w:sz w:val="18"/>
              </w:rPr>
              <w:t>Testnet and live use distinct configuration, credentials, clientOrderId namespace, database profile and visible UI banner.</w:t>
            </w:r>
          </w:p>
        </w:tc>
      </w:tr>
      <w:tr>
        <w:trPr>
          <w:cantSplit/>
        </w:trPr>
        <w:tc>
          <w:tcPr>
            <w:tcW w:type="dxa" w:w="2600"/>
            <w:tcMar>
              <w:top w:w="80" w:type="dxa"/>
              <w:start w:w="120" w:type="dxa"/>
              <w:bottom w:w="80" w:type="dxa"/>
              <w:end w:w="120" w:type="dxa"/>
            </w:tcMar>
            <w:vAlign w:val="center"/>
          </w:tcPr>
          <w:p>
            <w:pPr>
              <w:spacing w:after="0"/>
              <w:jc w:val="center"/>
            </w:pPr>
            <w:r>
              <w:rPr>
                <w:rFonts w:ascii="Aptos" w:hAnsi="Aptos"/>
                <w:b w:val="0"/>
                <w:i w:val="0"/>
                <w:color w:val="172B4D"/>
                <w:sz w:val="18"/>
              </w:rPr>
              <w:t>Leverage and liquidation</w:t>
            </w:r>
          </w:p>
        </w:tc>
        <w:tc>
          <w:tcPr>
            <w:tcW w:type="dxa" w:w="6760"/>
            <w:tcMar>
              <w:top w:w="80" w:type="dxa"/>
              <w:start w:w="120" w:type="dxa"/>
              <w:bottom w:w="80" w:type="dxa"/>
              <w:end w:w="120" w:type="dxa"/>
            </w:tcMar>
            <w:vAlign w:val="center"/>
          </w:tcPr>
          <w:p>
            <w:pPr>
              <w:spacing w:after="0"/>
              <w:jc w:val="left"/>
            </w:pPr>
            <w:r>
              <w:rPr>
                <w:rFonts w:ascii="Aptos" w:hAnsi="Aptos"/>
                <w:b w:val="0"/>
                <w:i w:val="0"/>
                <w:color w:val="172B4D"/>
                <w:sz w:val="18"/>
              </w:rPr>
              <w:t>Risk budget determines quantity first. Leverage is a margin-efficiency setting, capped by policy; pre-trade validation verifies isolated margin and liquidation buffer before approval/execution.</w:t>
            </w:r>
          </w:p>
        </w:tc>
      </w:tr>
      <w:tr>
        <w:trPr>
          <w:cantSplit/>
        </w:trPr>
        <w:tc>
          <w:tcPr>
            <w:tcW w:type="dxa" w:w="2600"/>
            <w:tcMar>
              <w:top w:w="80" w:type="dxa"/>
              <w:start w:w="120" w:type="dxa"/>
              <w:bottom w:w="80" w:type="dxa"/>
              <w:end w:w="120" w:type="dxa"/>
            </w:tcMar>
            <w:vAlign w:val="center"/>
          </w:tcPr>
          <w:p>
            <w:pPr>
              <w:spacing w:after="0"/>
              <w:jc w:val="center"/>
            </w:pPr>
            <w:r>
              <w:rPr>
                <w:rFonts w:ascii="Aptos" w:hAnsi="Aptos"/>
                <w:b w:val="0"/>
                <w:i w:val="0"/>
                <w:color w:val="172B4D"/>
                <w:sz w:val="18"/>
              </w:rPr>
              <w:t>Failure handling</w:t>
            </w:r>
          </w:p>
        </w:tc>
        <w:tc>
          <w:tcPr>
            <w:tcW w:type="dxa" w:w="6760"/>
            <w:tcMar>
              <w:top w:w="80" w:type="dxa"/>
              <w:start w:w="120" w:type="dxa"/>
              <w:bottom w:w="80" w:type="dxa"/>
              <w:end w:w="120" w:type="dxa"/>
            </w:tcMar>
            <w:vAlign w:val="center"/>
          </w:tcPr>
          <w:p>
            <w:pPr>
              <w:spacing w:after="0"/>
              <w:jc w:val="left"/>
            </w:pPr>
            <w:r>
              <w:rPr>
                <w:rFonts w:ascii="Aptos" w:hAnsi="Aptos"/>
                <w:b w:val="0"/>
                <w:i w:val="0"/>
                <w:color w:val="172B4D"/>
                <w:sz w:val="18"/>
              </w:rPr>
              <w:t>Unknown exchange outcome, stale data, protective failure or reconciliation mismatch transitions to Needs Review/Critical rather than inferring success.</w:t>
            </w:r>
          </w:p>
        </w:tc>
      </w:tr>
      <w:tr>
        <w:trPr>
          <w:cantSplit/>
        </w:trPr>
        <w:tc>
          <w:tcPr>
            <w:tcW w:type="dxa" w:w="2600"/>
            <w:tcMar>
              <w:top w:w="80" w:type="dxa"/>
              <w:start w:w="120" w:type="dxa"/>
              <w:bottom w:w="80" w:type="dxa"/>
              <w:end w:w="120" w:type="dxa"/>
            </w:tcMar>
            <w:vAlign w:val="center"/>
          </w:tcPr>
          <w:p>
            <w:pPr>
              <w:spacing w:after="0"/>
              <w:jc w:val="center"/>
            </w:pPr>
            <w:r>
              <w:rPr>
                <w:rFonts w:ascii="Aptos" w:hAnsi="Aptos"/>
                <w:b w:val="0"/>
                <w:i w:val="0"/>
                <w:color w:val="172B4D"/>
                <w:sz w:val="18"/>
              </w:rPr>
              <w:t>Kill switch</w:t>
            </w:r>
          </w:p>
        </w:tc>
        <w:tc>
          <w:tcPr>
            <w:tcW w:type="dxa" w:w="6760"/>
            <w:tcMar>
              <w:top w:w="80" w:type="dxa"/>
              <w:start w:w="120" w:type="dxa"/>
              <w:bottom w:w="80" w:type="dxa"/>
              <w:end w:w="120" w:type="dxa"/>
            </w:tcMar>
            <w:vAlign w:val="center"/>
          </w:tcPr>
          <w:p>
            <w:pPr>
              <w:spacing w:after="0"/>
              <w:jc w:val="left"/>
            </w:pPr>
            <w:r>
              <w:rPr>
                <w:rFonts w:ascii="Aptos" w:hAnsi="Aptos"/>
                <w:b w:val="0"/>
                <w:i w:val="0"/>
                <w:color w:val="172B4D"/>
                <w:sz w:val="18"/>
              </w:rPr>
              <w:t>Pause blocks new entry while monitoring/protection continues. Kill switch blocks automated action except an owner-approved emergency policy; all changes are audited.</w:t>
            </w:r>
          </w:p>
        </w:tc>
      </w:tr>
      <w:tr>
        <w:trPr>
          <w:cantSplit/>
        </w:trPr>
        <w:tc>
          <w:tcPr>
            <w:tcW w:type="dxa" w:w="2600"/>
            <w:tcMar>
              <w:top w:w="80" w:type="dxa"/>
              <w:start w:w="120" w:type="dxa"/>
              <w:bottom w:w="80" w:type="dxa"/>
              <w:end w:w="120" w:type="dxa"/>
            </w:tcMar>
            <w:vAlign w:val="center"/>
          </w:tcPr>
          <w:p>
            <w:pPr>
              <w:spacing w:after="0"/>
              <w:jc w:val="center"/>
            </w:pPr>
            <w:r>
              <w:rPr>
                <w:rFonts w:ascii="Aptos" w:hAnsi="Aptos"/>
                <w:b w:val="0"/>
                <w:i w:val="0"/>
                <w:color w:val="172B4D"/>
                <w:sz w:val="18"/>
              </w:rPr>
              <w:t>Desktop continuity</w:t>
            </w:r>
          </w:p>
        </w:tc>
        <w:tc>
          <w:tcPr>
            <w:tcW w:type="dxa" w:w="6760"/>
            <w:tcMar>
              <w:top w:w="80" w:type="dxa"/>
              <w:start w:w="120" w:type="dxa"/>
              <w:bottom w:w="80" w:type="dxa"/>
              <w:end w:w="120" w:type="dxa"/>
            </w:tcMar>
            <w:vAlign w:val="center"/>
          </w:tcPr>
          <w:p>
            <w:pPr>
              <w:spacing w:after="0"/>
              <w:jc w:val="left"/>
            </w:pPr>
            <w:r>
              <w:rPr>
                <w:rFonts w:ascii="Aptos" w:hAnsi="Aptos"/>
                <w:b w:val="0"/>
                <w:i w:val="0"/>
                <w:color w:val="172B4D"/>
                <w:sz w:val="18"/>
              </w:rPr>
              <w:t>Task Scheduler StartWhenAvailable, health check, alerting, checkpointed ScanRun and reconciliation on restart. Cloud is not the fallback in MVP.</w:t>
            </w:r>
          </w:p>
        </w:tc>
      </w:tr>
    </w:tbl>
    <w:p>
      <w:pPr>
        <w:spacing w:after="20"/>
      </w:pPr>
    </w:p>
    <w:p>
      <w:pPr>
        <w:pStyle w:val="Heading1"/>
      </w:pPr>
      <w:r>
        <w:t>9. NFR and requirement traceability</w:t>
      </w:r>
    </w:p>
    <w:tbl>
      <w:tblPr>
        <w:tblStyle w:val="TableGrid"/>
        <w:tblW w:type="dxa" w:w="9360"/>
        <w:jc w:val="left"/>
        <w:tblLayout w:type="fixed"/>
        <w:tblLook w:firstColumn="1" w:firstRow="1" w:lastColumn="0" w:lastRow="0" w:noHBand="0" w:noVBand="1" w:val="04A0"/>
        <w:tblInd w:w="120" w:type="dxa"/>
      </w:tblPr>
      <w:tblGrid>
        <w:gridCol w:w="2250"/>
        <w:gridCol w:w="4570"/>
        <w:gridCol w:w="2540"/>
      </w:tblGrid>
      <w:tr>
        <w:trPr>
          <w:cantSplit/>
          <w:tblHeader w:val="true"/>
        </w:trPr>
        <w:tc>
          <w:tcPr>
            <w:tcW w:type="dxa" w:w="2250"/>
            <w:shd w:fill="F2F4F7"/>
            <w:tcMar>
              <w:top w:w="80" w:type="dxa"/>
              <w:start w:w="120" w:type="dxa"/>
              <w:bottom w:w="80" w:type="dxa"/>
              <w:end w:w="120" w:type="dxa"/>
            </w:tcMar>
            <w:vAlign w:val="center"/>
          </w:tcPr>
          <w:p>
            <w:pPr>
              <w:spacing w:after="0"/>
              <w:jc w:val="center"/>
            </w:pPr>
            <w:r>
              <w:rPr>
                <w:rFonts w:ascii="Aptos" w:hAnsi="Aptos"/>
                <w:b/>
                <w:i w:val="0"/>
                <w:color w:val="172B4D"/>
                <w:sz w:val="18"/>
              </w:rPr>
              <w:t>BRD area</w:t>
            </w:r>
          </w:p>
        </w:tc>
        <w:tc>
          <w:tcPr>
            <w:tcW w:type="dxa" w:w="4570"/>
            <w:shd w:fill="F2F4F7"/>
            <w:tcMar>
              <w:top w:w="80" w:type="dxa"/>
              <w:start w:w="120" w:type="dxa"/>
              <w:bottom w:w="80" w:type="dxa"/>
              <w:end w:w="120" w:type="dxa"/>
            </w:tcMar>
            <w:vAlign w:val="center"/>
          </w:tcPr>
          <w:p>
            <w:pPr>
              <w:spacing w:after="0"/>
              <w:jc w:val="center"/>
            </w:pPr>
            <w:r>
              <w:rPr>
                <w:rFonts w:ascii="Aptos" w:hAnsi="Aptos"/>
                <w:b/>
                <w:i w:val="0"/>
                <w:color w:val="172B4D"/>
                <w:sz w:val="18"/>
              </w:rPr>
              <w:t>HLD response</w:t>
            </w:r>
          </w:p>
        </w:tc>
        <w:tc>
          <w:tcPr>
            <w:tcW w:type="dxa" w:w="2540"/>
            <w:shd w:fill="F2F4F7"/>
            <w:tcMar>
              <w:top w:w="80" w:type="dxa"/>
              <w:start w:w="120" w:type="dxa"/>
              <w:bottom w:w="80" w:type="dxa"/>
              <w:end w:w="120" w:type="dxa"/>
            </w:tcMar>
            <w:vAlign w:val="center"/>
          </w:tcPr>
          <w:p>
            <w:pPr>
              <w:spacing w:after="0"/>
              <w:jc w:val="center"/>
            </w:pPr>
            <w:r>
              <w:rPr>
                <w:rFonts w:ascii="Aptos" w:hAnsi="Aptos"/>
                <w:b/>
                <w:i w:val="0"/>
                <w:color w:val="172B4D"/>
                <w:sz w:val="18"/>
              </w:rPr>
              <w:t>Verification evidence</w:t>
            </w:r>
          </w:p>
        </w:tc>
      </w:tr>
      <w:tr>
        <w:trPr>
          <w:cantSplit/>
        </w:trPr>
        <w:tc>
          <w:tcPr>
            <w:tcW w:type="dxa" w:w="2250"/>
            <w:tcMar>
              <w:top w:w="80" w:type="dxa"/>
              <w:start w:w="120" w:type="dxa"/>
              <w:bottom w:w="80" w:type="dxa"/>
              <w:end w:w="120" w:type="dxa"/>
            </w:tcMar>
            <w:vAlign w:val="center"/>
          </w:tcPr>
          <w:p>
            <w:pPr>
              <w:spacing w:after="0"/>
              <w:jc w:val="center"/>
            </w:pPr>
            <w:r>
              <w:rPr>
                <w:rFonts w:ascii="Aptos" w:hAnsi="Aptos"/>
                <w:b w:val="0"/>
                <w:i w:val="0"/>
                <w:color w:val="172B4D"/>
                <w:sz w:val="18"/>
              </w:rPr>
              <w:t>FR-01 / FR-02; BR-01 to BR-11</w:t>
            </w:r>
          </w:p>
        </w:tc>
        <w:tc>
          <w:tcPr>
            <w:tcW w:type="dxa" w:w="4570"/>
            <w:tcMar>
              <w:top w:w="80" w:type="dxa"/>
              <w:start w:w="120" w:type="dxa"/>
              <w:bottom w:w="80" w:type="dxa"/>
              <w:end w:w="120" w:type="dxa"/>
            </w:tcMar>
            <w:vAlign w:val="center"/>
          </w:tcPr>
          <w:p>
            <w:pPr>
              <w:spacing w:after="0"/>
              <w:jc w:val="left"/>
            </w:pPr>
            <w:r>
              <w:rPr>
                <w:rFonts w:ascii="Aptos" w:hAnsi="Aptos"/>
                <w:b w:val="0"/>
                <w:i w:val="0"/>
                <w:color w:val="172B4D"/>
                <w:sz w:val="18"/>
              </w:rPr>
              <w:t>Scheduler, data-quality gate, NXT Rule Engine and RuleVersion registry.</w:t>
            </w:r>
          </w:p>
        </w:tc>
        <w:tc>
          <w:tcPr>
            <w:tcW w:type="dxa" w:w="2540"/>
            <w:tcMar>
              <w:top w:w="80" w:type="dxa"/>
              <w:start w:w="120" w:type="dxa"/>
              <w:bottom w:w="80" w:type="dxa"/>
              <w:end w:w="120" w:type="dxa"/>
            </w:tcMar>
            <w:vAlign w:val="center"/>
          </w:tcPr>
          <w:p>
            <w:pPr>
              <w:spacing w:after="0"/>
              <w:jc w:val="left"/>
            </w:pPr>
            <w:r>
              <w:rPr>
                <w:rFonts w:ascii="Aptos" w:hAnsi="Aptos"/>
                <w:b w:val="0"/>
                <w:i w:val="0"/>
                <w:color w:val="172B4D"/>
                <w:sz w:val="18"/>
              </w:rPr>
              <w:t>Golden-signal test; G-02 regression; deterministic Signal ID.</w:t>
            </w:r>
          </w:p>
        </w:tc>
      </w:tr>
      <w:tr>
        <w:trPr>
          <w:cantSplit/>
        </w:trPr>
        <w:tc>
          <w:tcPr>
            <w:tcW w:type="dxa" w:w="2250"/>
            <w:tcMar>
              <w:top w:w="80" w:type="dxa"/>
              <w:start w:w="120" w:type="dxa"/>
              <w:bottom w:w="80" w:type="dxa"/>
              <w:end w:w="120" w:type="dxa"/>
            </w:tcMar>
            <w:vAlign w:val="center"/>
          </w:tcPr>
          <w:p>
            <w:pPr>
              <w:spacing w:after="0"/>
              <w:jc w:val="center"/>
            </w:pPr>
            <w:r>
              <w:rPr>
                <w:rFonts w:ascii="Aptos" w:hAnsi="Aptos"/>
                <w:b w:val="0"/>
                <w:i w:val="0"/>
                <w:color w:val="172B4D"/>
                <w:sz w:val="18"/>
              </w:rPr>
              <w:t>FR-03 to FR-07; BR-12 to BR-15</w:t>
            </w:r>
          </w:p>
        </w:tc>
        <w:tc>
          <w:tcPr>
            <w:tcW w:type="dxa" w:w="4570"/>
            <w:tcMar>
              <w:top w:w="80" w:type="dxa"/>
              <w:start w:w="120" w:type="dxa"/>
              <w:bottom w:w="80" w:type="dxa"/>
              <w:end w:w="120" w:type="dxa"/>
            </w:tcMar>
            <w:vAlign w:val="center"/>
          </w:tcPr>
          <w:p>
            <w:pPr>
              <w:spacing w:after="0"/>
              <w:jc w:val="left"/>
            </w:pPr>
            <w:r>
              <w:rPr>
                <w:rFonts w:ascii="Aptos" w:hAnsi="Aptos"/>
                <w:b w:val="0"/>
                <w:i w:val="0"/>
                <w:color w:val="172B4D"/>
                <w:sz w:val="18"/>
              </w:rPr>
              <w:t>Risk/Proposal Engine, Approval workflow, Execution Gateway and Protective Order manager.</w:t>
            </w:r>
          </w:p>
        </w:tc>
        <w:tc>
          <w:tcPr>
            <w:tcW w:type="dxa" w:w="2540"/>
            <w:tcMar>
              <w:top w:w="80" w:type="dxa"/>
              <w:start w:w="120" w:type="dxa"/>
              <w:bottom w:w="80" w:type="dxa"/>
              <w:end w:w="120" w:type="dxa"/>
            </w:tcMar>
            <w:vAlign w:val="center"/>
          </w:tcPr>
          <w:p>
            <w:pPr>
              <w:spacing w:after="0"/>
              <w:jc w:val="left"/>
            </w:pPr>
            <w:r>
              <w:rPr>
                <w:rFonts w:ascii="Aptos" w:hAnsi="Aptos"/>
                <w:b w:val="0"/>
                <w:i w:val="0"/>
                <w:color w:val="172B4D"/>
                <w:sz w:val="18"/>
              </w:rPr>
              <w:t>Testnet E2E; pre-trade checks; partial fill and protective failure tests.</w:t>
            </w:r>
          </w:p>
        </w:tc>
      </w:tr>
      <w:tr>
        <w:trPr>
          <w:cantSplit/>
        </w:trPr>
        <w:tc>
          <w:tcPr>
            <w:tcW w:type="dxa" w:w="2250"/>
            <w:tcMar>
              <w:top w:w="80" w:type="dxa"/>
              <w:start w:w="120" w:type="dxa"/>
              <w:bottom w:w="80" w:type="dxa"/>
              <w:end w:w="120" w:type="dxa"/>
            </w:tcMar>
            <w:vAlign w:val="center"/>
          </w:tcPr>
          <w:p>
            <w:pPr>
              <w:spacing w:after="0"/>
              <w:jc w:val="center"/>
            </w:pPr>
            <w:r>
              <w:rPr>
                <w:rFonts w:ascii="Aptos" w:hAnsi="Aptos"/>
                <w:b w:val="0"/>
                <w:i w:val="0"/>
                <w:color w:val="172B4D"/>
                <w:sz w:val="18"/>
              </w:rPr>
              <w:t>FR-08 / FR-09; BR-16 / BR-17</w:t>
            </w:r>
          </w:p>
        </w:tc>
        <w:tc>
          <w:tcPr>
            <w:tcW w:type="dxa" w:w="4570"/>
            <w:tcMar>
              <w:top w:w="80" w:type="dxa"/>
              <w:start w:w="120" w:type="dxa"/>
              <w:bottom w:w="80" w:type="dxa"/>
              <w:end w:w="120" w:type="dxa"/>
            </w:tcMar>
            <w:vAlign w:val="center"/>
          </w:tcPr>
          <w:p>
            <w:pPr>
              <w:spacing w:after="0"/>
              <w:jc w:val="left"/>
            </w:pPr>
            <w:r>
              <w:rPr>
                <w:rFonts w:ascii="Aptos" w:hAnsi="Aptos"/>
                <w:b w:val="0"/>
                <w:i w:val="0"/>
                <w:color w:val="172B4D"/>
                <w:sz w:val="18"/>
              </w:rPr>
              <w:t>Position monitor, user data adapter, REST reconciliation and recommendation service.</w:t>
            </w:r>
          </w:p>
        </w:tc>
        <w:tc>
          <w:tcPr>
            <w:tcW w:type="dxa" w:w="2540"/>
            <w:tcMar>
              <w:top w:w="80" w:type="dxa"/>
              <w:start w:w="120" w:type="dxa"/>
              <w:bottom w:w="80" w:type="dxa"/>
              <w:end w:w="120" w:type="dxa"/>
            </w:tcMar>
            <w:vAlign w:val="center"/>
          </w:tcPr>
          <w:p>
            <w:pPr>
              <w:spacing w:after="0"/>
              <w:jc w:val="left"/>
            </w:pPr>
            <w:r>
              <w:rPr>
                <w:rFonts w:ascii="Aptos" w:hAnsi="Aptos"/>
                <w:b w:val="0"/>
                <w:i w:val="0"/>
                <w:color w:val="172B4D"/>
                <w:sz w:val="18"/>
              </w:rPr>
              <w:t>Disconnect/restart/manual intervention reconciliation evidence.</w:t>
            </w:r>
          </w:p>
        </w:tc>
      </w:tr>
      <w:tr>
        <w:trPr>
          <w:cantSplit/>
        </w:trPr>
        <w:tc>
          <w:tcPr>
            <w:tcW w:type="dxa" w:w="2250"/>
            <w:tcMar>
              <w:top w:w="80" w:type="dxa"/>
              <w:start w:w="120" w:type="dxa"/>
              <w:bottom w:w="80" w:type="dxa"/>
              <w:end w:w="120" w:type="dxa"/>
            </w:tcMar>
            <w:vAlign w:val="center"/>
          </w:tcPr>
          <w:p>
            <w:pPr>
              <w:spacing w:after="0"/>
              <w:jc w:val="center"/>
            </w:pPr>
            <w:r>
              <w:rPr>
                <w:rFonts w:ascii="Aptos" w:hAnsi="Aptos"/>
                <w:b w:val="0"/>
                <w:i w:val="0"/>
                <w:color w:val="172B4D"/>
                <w:sz w:val="18"/>
              </w:rPr>
              <w:t>FR-10 to FR-12; NFR-02/03/05/07</w:t>
            </w:r>
          </w:p>
        </w:tc>
        <w:tc>
          <w:tcPr>
            <w:tcW w:type="dxa" w:w="4570"/>
            <w:tcMar>
              <w:top w:w="80" w:type="dxa"/>
              <w:start w:w="120" w:type="dxa"/>
              <w:bottom w:w="80" w:type="dxa"/>
              <w:end w:w="120" w:type="dxa"/>
            </w:tcMar>
            <w:vAlign w:val="center"/>
          </w:tcPr>
          <w:p>
            <w:pPr>
              <w:spacing w:after="0"/>
              <w:jc w:val="left"/>
            </w:pPr>
            <w:r>
              <w:rPr>
                <w:rFonts w:ascii="Aptos" w:hAnsi="Aptos"/>
                <w:b w:val="0"/>
                <w:i w:val="0"/>
                <w:color w:val="172B4D"/>
                <w:sz w:val="18"/>
              </w:rPr>
              <w:t>Notifier, local dashboard, audit store, health monitor and operational controls.</w:t>
            </w:r>
          </w:p>
        </w:tc>
        <w:tc>
          <w:tcPr>
            <w:tcW w:type="dxa" w:w="2540"/>
            <w:tcMar>
              <w:top w:w="80" w:type="dxa"/>
              <w:start w:w="120" w:type="dxa"/>
              <w:bottom w:w="80" w:type="dxa"/>
              <w:end w:w="120" w:type="dxa"/>
            </w:tcMar>
            <w:vAlign w:val="center"/>
          </w:tcPr>
          <w:p>
            <w:pPr>
              <w:spacing w:after="0"/>
              <w:jc w:val="left"/>
            </w:pPr>
            <w:r>
              <w:rPr>
                <w:rFonts w:ascii="Aptos" w:hAnsi="Aptos"/>
                <w:b w:val="0"/>
                <w:i w:val="0"/>
                <w:color w:val="172B4D"/>
                <w:sz w:val="18"/>
              </w:rPr>
              <w:t>Delivery retry logs, audit timeline, kill-switch UAT and scheduled-run status.</w:t>
            </w:r>
          </w:p>
        </w:tc>
      </w:tr>
      <w:tr>
        <w:trPr>
          <w:cantSplit/>
        </w:trPr>
        <w:tc>
          <w:tcPr>
            <w:tcW w:type="dxa" w:w="2250"/>
            <w:tcMar>
              <w:top w:w="80" w:type="dxa"/>
              <w:start w:w="120" w:type="dxa"/>
              <w:bottom w:w="80" w:type="dxa"/>
              <w:end w:w="120" w:type="dxa"/>
            </w:tcMar>
            <w:vAlign w:val="center"/>
          </w:tcPr>
          <w:p>
            <w:pPr>
              <w:spacing w:after="0"/>
              <w:jc w:val="center"/>
            </w:pPr>
            <w:r>
              <w:rPr>
                <w:rFonts w:ascii="Aptos" w:hAnsi="Aptos"/>
                <w:b w:val="0"/>
                <w:i w:val="0"/>
                <w:color w:val="172B4D"/>
                <w:sz w:val="18"/>
              </w:rPr>
              <w:t>Desktop-first decision</w:t>
            </w:r>
          </w:p>
        </w:tc>
        <w:tc>
          <w:tcPr>
            <w:tcW w:type="dxa" w:w="4570"/>
            <w:tcMar>
              <w:top w:w="80" w:type="dxa"/>
              <w:start w:w="120" w:type="dxa"/>
              <w:bottom w:w="80" w:type="dxa"/>
              <w:end w:w="120" w:type="dxa"/>
            </w:tcMar>
            <w:vAlign w:val="center"/>
          </w:tcPr>
          <w:p>
            <w:pPr>
              <w:spacing w:after="0"/>
              <w:jc w:val="left"/>
            </w:pPr>
            <w:r>
              <w:rPr>
                <w:rFonts w:ascii="Aptos" w:hAnsi="Aptos"/>
                <w:b w:val="0"/>
                <w:i w:val="0"/>
                <w:color w:val="172B4D"/>
                <w:sz w:val="18"/>
              </w:rPr>
              <w:t>Single-host modular deployment and local data store; cloud excluded from MVP boundary.</w:t>
            </w:r>
          </w:p>
        </w:tc>
        <w:tc>
          <w:tcPr>
            <w:tcW w:type="dxa" w:w="2540"/>
            <w:tcMar>
              <w:top w:w="80" w:type="dxa"/>
              <w:start w:w="120" w:type="dxa"/>
              <w:bottom w:w="80" w:type="dxa"/>
              <w:end w:w="120" w:type="dxa"/>
            </w:tcMar>
            <w:vAlign w:val="center"/>
          </w:tcPr>
          <w:p>
            <w:pPr>
              <w:spacing w:after="0"/>
              <w:jc w:val="left"/>
            </w:pPr>
            <w:r>
              <w:rPr>
                <w:rFonts w:ascii="Aptos" w:hAnsi="Aptos"/>
                <w:b w:val="0"/>
                <w:i w:val="0"/>
                <w:color w:val="172B4D"/>
                <w:sz w:val="18"/>
              </w:rPr>
              <w:t>30-day desktop paper/testnet operational run.</w:t>
            </w:r>
          </w:p>
        </w:tc>
      </w:tr>
    </w:tbl>
    <w:p>
      <w:pPr>
        <w:spacing w:after="20"/>
      </w:pPr>
    </w:p>
    <w:p>
      <w:pPr>
        <w:pStyle w:val="Heading1"/>
      </w:pPr>
      <w:r>
        <w:t>10. Key design decisions and open decisions</w:t>
      </w:r>
    </w:p>
    <w:tbl>
      <w:tblPr>
        <w:tblStyle w:val="TableGrid"/>
        <w:tblW w:type="dxa" w:w="9360"/>
        <w:jc w:val="left"/>
        <w:tblLayout w:type="fixed"/>
        <w:tblLook w:firstColumn="1" w:firstRow="1" w:lastColumn="0" w:lastRow="0" w:noHBand="0" w:noVBand="1" w:val="04A0"/>
        <w:tblInd w:w="120" w:type="dxa"/>
      </w:tblPr>
      <w:tblGrid>
        <w:gridCol w:w="2900"/>
        <w:gridCol w:w="1750"/>
        <w:gridCol w:w="4710"/>
      </w:tblGrid>
      <w:tr>
        <w:trPr>
          <w:cantSplit/>
          <w:tblHeader w:val="true"/>
        </w:trPr>
        <w:tc>
          <w:tcPr>
            <w:tcW w:type="dxa" w:w="2900"/>
            <w:shd w:fill="F2F4F7"/>
            <w:tcMar>
              <w:top w:w="80" w:type="dxa"/>
              <w:start w:w="120" w:type="dxa"/>
              <w:bottom w:w="80" w:type="dxa"/>
              <w:end w:w="120" w:type="dxa"/>
            </w:tcMar>
            <w:vAlign w:val="center"/>
          </w:tcPr>
          <w:p>
            <w:pPr>
              <w:spacing w:after="0"/>
              <w:jc w:val="center"/>
            </w:pPr>
            <w:r>
              <w:rPr>
                <w:rFonts w:ascii="Aptos" w:hAnsi="Aptos"/>
                <w:b/>
                <w:i w:val="0"/>
                <w:color w:val="172B4D"/>
                <w:sz w:val="18"/>
              </w:rPr>
              <w:t>Decision</w:t>
            </w:r>
          </w:p>
        </w:tc>
        <w:tc>
          <w:tcPr>
            <w:tcW w:type="dxa" w:w="1750"/>
            <w:shd w:fill="F2F4F7"/>
            <w:tcMar>
              <w:top w:w="80" w:type="dxa"/>
              <w:start w:w="120" w:type="dxa"/>
              <w:bottom w:w="80" w:type="dxa"/>
              <w:end w:w="120" w:type="dxa"/>
            </w:tcMar>
            <w:vAlign w:val="center"/>
          </w:tcPr>
          <w:p>
            <w:pPr>
              <w:spacing w:after="0"/>
              <w:jc w:val="center"/>
            </w:pPr>
            <w:r>
              <w:rPr>
                <w:rFonts w:ascii="Aptos" w:hAnsi="Aptos"/>
                <w:b/>
                <w:i w:val="0"/>
                <w:color w:val="172B4D"/>
                <w:sz w:val="18"/>
              </w:rPr>
              <w:t>Status</w:t>
            </w:r>
          </w:p>
        </w:tc>
        <w:tc>
          <w:tcPr>
            <w:tcW w:type="dxa" w:w="4710"/>
            <w:shd w:fill="F2F4F7"/>
            <w:tcMar>
              <w:top w:w="80" w:type="dxa"/>
              <w:start w:w="120" w:type="dxa"/>
              <w:bottom w:w="80" w:type="dxa"/>
              <w:end w:w="120" w:type="dxa"/>
            </w:tcMar>
            <w:vAlign w:val="center"/>
          </w:tcPr>
          <w:p>
            <w:pPr>
              <w:spacing w:after="0"/>
              <w:jc w:val="center"/>
            </w:pPr>
            <w:r>
              <w:rPr>
                <w:rFonts w:ascii="Aptos" w:hAnsi="Aptos"/>
                <w:b/>
                <w:i w:val="0"/>
                <w:color w:val="172B4D"/>
                <w:sz w:val="18"/>
              </w:rPr>
              <w:t>Rationale / remaining action</w:t>
            </w:r>
          </w:p>
        </w:tc>
      </w:tr>
      <w:tr>
        <w:trPr>
          <w:cantSplit/>
        </w:trPr>
        <w:tc>
          <w:tcPr>
            <w:tcW w:type="dxa" w:w="2900"/>
            <w:tcMar>
              <w:top w:w="80" w:type="dxa"/>
              <w:start w:w="120" w:type="dxa"/>
              <w:bottom w:w="80" w:type="dxa"/>
              <w:end w:w="120" w:type="dxa"/>
            </w:tcMar>
            <w:vAlign w:val="center"/>
          </w:tcPr>
          <w:p>
            <w:pPr>
              <w:spacing w:after="0"/>
              <w:jc w:val="center"/>
            </w:pPr>
            <w:r>
              <w:rPr>
                <w:rFonts w:ascii="Aptos" w:hAnsi="Aptos"/>
                <w:b w:val="0"/>
                <w:i w:val="0"/>
                <w:color w:val="172B4D"/>
                <w:sz w:val="18"/>
              </w:rPr>
              <w:t>Desktop-first modular monolith</w:t>
            </w:r>
          </w:p>
        </w:tc>
        <w:tc>
          <w:tcPr>
            <w:tcW w:type="dxa" w:w="1750"/>
            <w:tcMar>
              <w:top w:w="80" w:type="dxa"/>
              <w:start w:w="120" w:type="dxa"/>
              <w:bottom w:w="80" w:type="dxa"/>
              <w:end w:w="120" w:type="dxa"/>
            </w:tcMar>
            <w:vAlign w:val="center"/>
          </w:tcPr>
          <w:p>
            <w:pPr>
              <w:spacing w:after="0"/>
              <w:jc w:val="left"/>
            </w:pPr>
            <w:r>
              <w:rPr>
                <w:rFonts w:ascii="Aptos" w:hAnsi="Aptos"/>
                <w:b w:val="0"/>
                <w:i w:val="0"/>
                <w:color w:val="172B4D"/>
                <w:sz w:val="18"/>
              </w:rPr>
              <w:t>Confirmed</w:t>
            </w:r>
          </w:p>
        </w:tc>
        <w:tc>
          <w:tcPr>
            <w:tcW w:type="dxa" w:w="4710"/>
            <w:tcMar>
              <w:top w:w="80" w:type="dxa"/>
              <w:start w:w="120" w:type="dxa"/>
              <w:bottom w:w="80" w:type="dxa"/>
              <w:end w:w="120" w:type="dxa"/>
            </w:tcMar>
            <w:vAlign w:val="center"/>
          </w:tcPr>
          <w:p>
            <w:pPr>
              <w:spacing w:after="0"/>
              <w:jc w:val="left"/>
            </w:pPr>
            <w:r>
              <w:rPr>
                <w:rFonts w:ascii="Aptos" w:hAnsi="Aptos"/>
                <w:b w:val="0"/>
                <w:i w:val="0"/>
                <w:color w:val="172B4D"/>
                <w:sz w:val="18"/>
              </w:rPr>
              <w:t>Lowest operational complexity for MVP; components remain separable for later cloud assessment.</w:t>
            </w:r>
          </w:p>
        </w:tc>
      </w:tr>
      <w:tr>
        <w:trPr>
          <w:cantSplit/>
        </w:trPr>
        <w:tc>
          <w:tcPr>
            <w:tcW w:type="dxa" w:w="2900"/>
            <w:tcMar>
              <w:top w:w="80" w:type="dxa"/>
              <w:start w:w="120" w:type="dxa"/>
              <w:bottom w:w="80" w:type="dxa"/>
              <w:end w:w="120" w:type="dxa"/>
            </w:tcMar>
            <w:vAlign w:val="center"/>
          </w:tcPr>
          <w:p>
            <w:pPr>
              <w:spacing w:after="0"/>
              <w:jc w:val="center"/>
            </w:pPr>
            <w:r>
              <w:rPr>
                <w:rFonts w:ascii="Aptos" w:hAnsi="Aptos"/>
                <w:b w:val="0"/>
                <w:i w:val="0"/>
                <w:color w:val="172B4D"/>
                <w:sz w:val="18"/>
              </w:rPr>
              <w:t>Binance USD-M as technical baseline</w:t>
            </w:r>
          </w:p>
        </w:tc>
        <w:tc>
          <w:tcPr>
            <w:tcW w:type="dxa" w:w="1750"/>
            <w:tcMar>
              <w:top w:w="80" w:type="dxa"/>
              <w:start w:w="120" w:type="dxa"/>
              <w:bottom w:w="80" w:type="dxa"/>
              <w:end w:w="120" w:type="dxa"/>
            </w:tcMar>
            <w:vAlign w:val="center"/>
          </w:tcPr>
          <w:p>
            <w:pPr>
              <w:spacing w:after="0"/>
              <w:jc w:val="left"/>
            </w:pPr>
            <w:r>
              <w:rPr>
                <w:rFonts w:ascii="Aptos" w:hAnsi="Aptos"/>
                <w:b w:val="0"/>
                <w:i w:val="0"/>
                <w:color w:val="172B4D"/>
                <w:sz w:val="18"/>
              </w:rPr>
              <w:t>Confirmed</w:t>
            </w:r>
          </w:p>
        </w:tc>
        <w:tc>
          <w:tcPr>
            <w:tcW w:type="dxa" w:w="4710"/>
            <w:tcMar>
              <w:top w:w="80" w:type="dxa"/>
              <w:start w:w="120" w:type="dxa"/>
              <w:bottom w:w="80" w:type="dxa"/>
              <w:end w:w="120" w:type="dxa"/>
            </w:tcMar>
            <w:vAlign w:val="center"/>
          </w:tcPr>
          <w:p>
            <w:pPr>
              <w:spacing w:after="0"/>
              <w:jc w:val="left"/>
            </w:pPr>
            <w:r>
              <w:rPr>
                <w:rFonts w:ascii="Aptos" w:hAnsi="Aptos"/>
                <w:b w:val="0"/>
                <w:i w:val="0"/>
                <w:color w:val="172B4D"/>
                <w:sz w:val="18"/>
              </w:rPr>
              <w:t>Matches promoted NXT data and funding model. Owner must still confirm account eligibility/contract availability before testnet/live.</w:t>
            </w:r>
          </w:p>
        </w:tc>
      </w:tr>
      <w:tr>
        <w:trPr>
          <w:cantSplit/>
        </w:trPr>
        <w:tc>
          <w:tcPr>
            <w:tcW w:type="dxa" w:w="2900"/>
            <w:tcMar>
              <w:top w:w="80" w:type="dxa"/>
              <w:start w:w="120" w:type="dxa"/>
              <w:bottom w:w="80" w:type="dxa"/>
              <w:end w:w="120" w:type="dxa"/>
            </w:tcMar>
            <w:vAlign w:val="center"/>
          </w:tcPr>
          <w:p>
            <w:pPr>
              <w:spacing w:after="0"/>
              <w:jc w:val="center"/>
            </w:pPr>
            <w:r>
              <w:rPr>
                <w:rFonts w:ascii="Aptos" w:hAnsi="Aptos"/>
                <w:b w:val="0"/>
                <w:i w:val="0"/>
                <w:color w:val="172B4D"/>
                <w:sz w:val="18"/>
              </w:rPr>
              <w:t>Human approval for entry</w:t>
            </w:r>
          </w:p>
        </w:tc>
        <w:tc>
          <w:tcPr>
            <w:tcW w:type="dxa" w:w="1750"/>
            <w:tcMar>
              <w:top w:w="80" w:type="dxa"/>
              <w:start w:w="120" w:type="dxa"/>
              <w:bottom w:w="80" w:type="dxa"/>
              <w:end w:w="120" w:type="dxa"/>
            </w:tcMar>
            <w:vAlign w:val="center"/>
          </w:tcPr>
          <w:p>
            <w:pPr>
              <w:spacing w:after="0"/>
              <w:jc w:val="left"/>
            </w:pPr>
            <w:r>
              <w:rPr>
                <w:rFonts w:ascii="Aptos" w:hAnsi="Aptos"/>
                <w:b w:val="0"/>
                <w:i w:val="0"/>
                <w:color w:val="172B4D"/>
                <w:sz w:val="18"/>
              </w:rPr>
              <w:t>Confirmed</w:t>
            </w:r>
          </w:p>
        </w:tc>
        <w:tc>
          <w:tcPr>
            <w:tcW w:type="dxa" w:w="4710"/>
            <w:tcMar>
              <w:top w:w="80" w:type="dxa"/>
              <w:start w:w="120" w:type="dxa"/>
              <w:bottom w:w="80" w:type="dxa"/>
              <w:end w:w="120" w:type="dxa"/>
            </w:tcMar>
            <w:vAlign w:val="center"/>
          </w:tcPr>
          <w:p>
            <w:pPr>
              <w:spacing w:after="0"/>
              <w:jc w:val="left"/>
            </w:pPr>
            <w:r>
              <w:rPr>
                <w:rFonts w:ascii="Aptos" w:hAnsi="Aptos"/>
                <w:b w:val="0"/>
                <w:i w:val="0"/>
                <w:color w:val="172B4D"/>
                <w:sz w:val="18"/>
              </w:rPr>
              <w:t>No live entry without an approval record matching the proposal hash and environment.</w:t>
            </w:r>
          </w:p>
        </w:tc>
      </w:tr>
      <w:tr>
        <w:trPr>
          <w:cantSplit/>
        </w:trPr>
        <w:tc>
          <w:tcPr>
            <w:tcW w:type="dxa" w:w="2900"/>
            <w:tcMar>
              <w:top w:w="80" w:type="dxa"/>
              <w:start w:w="120" w:type="dxa"/>
              <w:bottom w:w="80" w:type="dxa"/>
              <w:end w:w="120" w:type="dxa"/>
            </w:tcMar>
            <w:vAlign w:val="center"/>
          </w:tcPr>
          <w:p>
            <w:pPr>
              <w:spacing w:after="0"/>
              <w:jc w:val="center"/>
            </w:pPr>
            <w:r>
              <w:rPr>
                <w:rFonts w:ascii="Aptos" w:hAnsi="Aptos"/>
                <w:b w:val="0"/>
                <w:i w:val="0"/>
                <w:color w:val="172B4D"/>
                <w:sz w:val="18"/>
              </w:rPr>
              <w:t>Live risk, leverage ceiling and loss caps</w:t>
            </w:r>
          </w:p>
        </w:tc>
        <w:tc>
          <w:tcPr>
            <w:tcW w:type="dxa" w:w="1750"/>
            <w:tcMar>
              <w:top w:w="80" w:type="dxa"/>
              <w:start w:w="120" w:type="dxa"/>
              <w:bottom w:w="80" w:type="dxa"/>
              <w:end w:w="120" w:type="dxa"/>
            </w:tcMar>
            <w:vAlign w:val="center"/>
          </w:tcPr>
          <w:p>
            <w:pPr>
              <w:spacing w:after="0"/>
              <w:jc w:val="left"/>
            </w:pPr>
            <w:r>
              <w:rPr>
                <w:rFonts w:ascii="Aptos" w:hAnsi="Aptos"/>
                <w:b w:val="0"/>
                <w:i w:val="0"/>
                <w:color w:val="172B4D"/>
                <w:sz w:val="18"/>
              </w:rPr>
              <w:t>Open / blocking</w:t>
            </w:r>
          </w:p>
        </w:tc>
        <w:tc>
          <w:tcPr>
            <w:tcW w:type="dxa" w:w="4710"/>
            <w:tcMar>
              <w:top w:w="80" w:type="dxa"/>
              <w:start w:w="120" w:type="dxa"/>
              <w:bottom w:w="80" w:type="dxa"/>
              <w:end w:w="120" w:type="dxa"/>
            </w:tcMar>
            <w:vAlign w:val="center"/>
          </w:tcPr>
          <w:p>
            <w:pPr>
              <w:spacing w:after="0"/>
              <w:jc w:val="left"/>
            </w:pPr>
            <w:r>
              <w:rPr>
                <w:rFonts w:ascii="Aptos" w:hAnsi="Aptos"/>
                <w:b w:val="0"/>
                <w:i w:val="0"/>
                <w:color w:val="172B4D"/>
                <w:sz w:val="18"/>
              </w:rPr>
              <w:t>Owner must set per-trade and portfolio policies. HLD enforces a policy interface rather than hardcoding values.</w:t>
            </w:r>
          </w:p>
        </w:tc>
      </w:tr>
      <w:tr>
        <w:trPr>
          <w:cantSplit/>
        </w:trPr>
        <w:tc>
          <w:tcPr>
            <w:tcW w:type="dxa" w:w="2900"/>
            <w:tcMar>
              <w:top w:w="80" w:type="dxa"/>
              <w:start w:w="120" w:type="dxa"/>
              <w:bottom w:w="80" w:type="dxa"/>
              <w:end w:w="120" w:type="dxa"/>
            </w:tcMar>
            <w:vAlign w:val="center"/>
          </w:tcPr>
          <w:p>
            <w:pPr>
              <w:spacing w:after="0"/>
              <w:jc w:val="center"/>
            </w:pPr>
            <w:r>
              <w:rPr>
                <w:rFonts w:ascii="Aptos" w:hAnsi="Aptos"/>
                <w:b w:val="0"/>
                <w:i w:val="0"/>
                <w:color w:val="172B4D"/>
                <w:sz w:val="18"/>
              </w:rPr>
              <w:t>Runner exit automation level</w:t>
            </w:r>
          </w:p>
        </w:tc>
        <w:tc>
          <w:tcPr>
            <w:tcW w:type="dxa" w:w="1750"/>
            <w:tcMar>
              <w:top w:w="80" w:type="dxa"/>
              <w:start w:w="120" w:type="dxa"/>
              <w:bottom w:w="80" w:type="dxa"/>
              <w:end w:w="120" w:type="dxa"/>
            </w:tcMar>
            <w:vAlign w:val="center"/>
          </w:tcPr>
          <w:p>
            <w:pPr>
              <w:spacing w:after="0"/>
              <w:jc w:val="left"/>
            </w:pPr>
            <w:r>
              <w:rPr>
                <w:rFonts w:ascii="Aptos" w:hAnsi="Aptos"/>
                <w:b w:val="0"/>
                <w:i w:val="0"/>
                <w:color w:val="172B4D"/>
                <w:sz w:val="18"/>
              </w:rPr>
              <w:t>Open / high</w:t>
            </w:r>
          </w:p>
        </w:tc>
        <w:tc>
          <w:tcPr>
            <w:tcW w:type="dxa" w:w="4710"/>
            <w:tcMar>
              <w:top w:w="80" w:type="dxa"/>
              <w:start w:w="120" w:type="dxa"/>
              <w:bottom w:w="80" w:type="dxa"/>
              <w:end w:w="120" w:type="dxa"/>
            </w:tcMar>
            <w:vAlign w:val="center"/>
          </w:tcPr>
          <w:p>
            <w:pPr>
              <w:spacing w:after="0"/>
              <w:jc w:val="left"/>
            </w:pPr>
            <w:r>
              <w:rPr>
                <w:rFonts w:ascii="Aptos" w:hAnsi="Aptos"/>
                <w:b w:val="0"/>
                <w:i w:val="0"/>
                <w:color w:val="172B4D"/>
                <w:sz w:val="18"/>
              </w:rPr>
              <w:t>Recommendation-only is the safe default until owner approves an automation policy.</w:t>
            </w:r>
          </w:p>
        </w:tc>
      </w:tr>
      <w:tr>
        <w:trPr>
          <w:cantSplit/>
        </w:trPr>
        <w:tc>
          <w:tcPr>
            <w:tcW w:type="dxa" w:w="2900"/>
            <w:tcMar>
              <w:top w:w="80" w:type="dxa"/>
              <w:start w:w="120" w:type="dxa"/>
              <w:bottom w:w="80" w:type="dxa"/>
              <w:end w:w="120" w:type="dxa"/>
            </w:tcMar>
            <w:vAlign w:val="center"/>
          </w:tcPr>
          <w:p>
            <w:pPr>
              <w:spacing w:after="0"/>
              <w:jc w:val="center"/>
            </w:pPr>
            <w:r>
              <w:rPr>
                <w:rFonts w:ascii="Aptos" w:hAnsi="Aptos"/>
                <w:b w:val="0"/>
                <w:i w:val="0"/>
                <w:color w:val="172B4D"/>
                <w:sz w:val="18"/>
              </w:rPr>
              <w:t>Cloud readiness</w:t>
            </w:r>
          </w:p>
        </w:tc>
        <w:tc>
          <w:tcPr>
            <w:tcW w:type="dxa" w:w="1750"/>
            <w:tcMar>
              <w:top w:w="80" w:type="dxa"/>
              <w:start w:w="120" w:type="dxa"/>
              <w:bottom w:w="80" w:type="dxa"/>
              <w:end w:w="120" w:type="dxa"/>
            </w:tcMar>
            <w:vAlign w:val="center"/>
          </w:tcPr>
          <w:p>
            <w:pPr>
              <w:spacing w:after="0"/>
              <w:jc w:val="left"/>
            </w:pPr>
            <w:r>
              <w:rPr>
                <w:rFonts w:ascii="Aptos" w:hAnsi="Aptos"/>
                <w:b w:val="0"/>
                <w:i w:val="0"/>
                <w:color w:val="172B4D"/>
                <w:sz w:val="18"/>
              </w:rPr>
              <w:t>Deferred</w:t>
            </w:r>
          </w:p>
        </w:tc>
        <w:tc>
          <w:tcPr>
            <w:tcW w:type="dxa" w:w="4710"/>
            <w:tcMar>
              <w:top w:w="80" w:type="dxa"/>
              <w:start w:w="120" w:type="dxa"/>
              <w:bottom w:w="80" w:type="dxa"/>
              <w:end w:w="120" w:type="dxa"/>
            </w:tcMar>
            <w:vAlign w:val="center"/>
          </w:tcPr>
          <w:p>
            <w:pPr>
              <w:spacing w:after="0"/>
              <w:jc w:val="left"/>
            </w:pPr>
            <w:r>
              <w:rPr>
                <w:rFonts w:ascii="Aptos" w:hAnsi="Aptos"/>
                <w:b w:val="0"/>
                <w:i w:val="0"/>
                <w:color w:val="172B4D"/>
                <w:sz w:val="18"/>
              </w:rPr>
              <w:t>Evaluate only after desktop paper/testnet pilot achieves the BRD operational-run exit criteria.</w:t>
            </w:r>
          </w:p>
        </w:tc>
      </w:tr>
    </w:tbl>
    <w:p>
      <w:pPr>
        <w:spacing w:after="20"/>
      </w:pPr>
    </w:p>
    <w:p>
      <w:pPr>
        <w:pStyle w:val="Heading1"/>
      </w:pPr>
      <w:r>
        <w:t>11. Phased implementation view</w:t>
      </w:r>
    </w:p>
    <w:tbl>
      <w:tblPr>
        <w:tblStyle w:val="TableGrid"/>
        <w:tblW w:type="dxa" w:w="9360"/>
        <w:jc w:val="left"/>
        <w:tblLayout w:type="fixed"/>
        <w:tblLook w:firstColumn="1" w:firstRow="1" w:lastColumn="0" w:lastRow="0" w:noHBand="0" w:noVBand="1" w:val="04A0"/>
        <w:tblInd w:w="120" w:type="dxa"/>
      </w:tblPr>
      <w:tblGrid>
        <w:gridCol w:w="1750"/>
        <w:gridCol w:w="5180"/>
        <w:gridCol w:w="2430"/>
      </w:tblGrid>
      <w:tr>
        <w:trPr>
          <w:cantSplit/>
          <w:tblHeader w:val="true"/>
        </w:trPr>
        <w:tc>
          <w:tcPr>
            <w:tcW w:type="dxa" w:w="1750"/>
            <w:shd w:fill="F2F4F7"/>
            <w:tcMar>
              <w:top w:w="80" w:type="dxa"/>
              <w:start w:w="120" w:type="dxa"/>
              <w:bottom w:w="80" w:type="dxa"/>
              <w:end w:w="120" w:type="dxa"/>
            </w:tcMar>
            <w:vAlign w:val="center"/>
          </w:tcPr>
          <w:p>
            <w:pPr>
              <w:spacing w:after="0"/>
              <w:jc w:val="center"/>
            </w:pPr>
            <w:r>
              <w:rPr>
                <w:rFonts w:ascii="Aptos" w:hAnsi="Aptos"/>
                <w:b/>
                <w:i w:val="0"/>
                <w:color w:val="172B4D"/>
                <w:sz w:val="18"/>
              </w:rPr>
              <w:t>Phase</w:t>
            </w:r>
          </w:p>
        </w:tc>
        <w:tc>
          <w:tcPr>
            <w:tcW w:type="dxa" w:w="5180"/>
            <w:shd w:fill="F2F4F7"/>
            <w:tcMar>
              <w:top w:w="80" w:type="dxa"/>
              <w:start w:w="120" w:type="dxa"/>
              <w:bottom w:w="80" w:type="dxa"/>
              <w:end w:w="120" w:type="dxa"/>
            </w:tcMar>
            <w:vAlign w:val="center"/>
          </w:tcPr>
          <w:p>
            <w:pPr>
              <w:spacing w:after="0"/>
              <w:jc w:val="center"/>
            </w:pPr>
            <w:r>
              <w:rPr>
                <w:rFonts w:ascii="Aptos" w:hAnsi="Aptos"/>
                <w:b/>
                <w:i w:val="0"/>
                <w:color w:val="172B4D"/>
                <w:sz w:val="18"/>
              </w:rPr>
              <w:t>Architecture increment</w:t>
            </w:r>
          </w:p>
        </w:tc>
        <w:tc>
          <w:tcPr>
            <w:tcW w:type="dxa" w:w="2430"/>
            <w:shd w:fill="F2F4F7"/>
            <w:tcMar>
              <w:top w:w="80" w:type="dxa"/>
              <w:start w:w="120" w:type="dxa"/>
              <w:bottom w:w="80" w:type="dxa"/>
              <w:end w:w="120" w:type="dxa"/>
            </w:tcMar>
            <w:vAlign w:val="center"/>
          </w:tcPr>
          <w:p>
            <w:pPr>
              <w:spacing w:after="0"/>
              <w:jc w:val="center"/>
            </w:pPr>
            <w:r>
              <w:rPr>
                <w:rFonts w:ascii="Aptos" w:hAnsi="Aptos"/>
                <w:b/>
                <w:i w:val="0"/>
                <w:color w:val="172B4D"/>
                <w:sz w:val="18"/>
              </w:rPr>
              <w:t>Exit condition</w:t>
            </w:r>
          </w:p>
        </w:tc>
      </w:tr>
      <w:tr>
        <w:trPr>
          <w:cantSplit/>
        </w:trPr>
        <w:tc>
          <w:tcPr>
            <w:tcW w:type="dxa" w:w="1750"/>
            <w:tcMar>
              <w:top w:w="80" w:type="dxa"/>
              <w:start w:w="120" w:type="dxa"/>
              <w:bottom w:w="80" w:type="dxa"/>
              <w:end w:w="120" w:type="dxa"/>
            </w:tcMar>
            <w:vAlign w:val="center"/>
          </w:tcPr>
          <w:p>
            <w:pPr>
              <w:spacing w:after="0"/>
              <w:jc w:val="center"/>
            </w:pPr>
            <w:r>
              <w:rPr>
                <w:rFonts w:ascii="Aptos" w:hAnsi="Aptos"/>
                <w:b w:val="0"/>
                <w:i w:val="0"/>
                <w:color w:val="172B4D"/>
                <w:sz w:val="18"/>
              </w:rPr>
              <w:t>1. Desktop paper</w:t>
            </w:r>
          </w:p>
        </w:tc>
        <w:tc>
          <w:tcPr>
            <w:tcW w:type="dxa" w:w="5180"/>
            <w:tcMar>
              <w:top w:w="80" w:type="dxa"/>
              <w:start w:w="120" w:type="dxa"/>
              <w:bottom w:w="80" w:type="dxa"/>
              <w:end w:w="120" w:type="dxa"/>
            </w:tcMar>
            <w:vAlign w:val="center"/>
          </w:tcPr>
          <w:p>
            <w:pPr>
              <w:spacing w:after="0"/>
              <w:jc w:val="left"/>
            </w:pPr>
            <w:r>
              <w:rPr>
                <w:rFonts w:ascii="Aptos" w:hAnsi="Aptos"/>
                <w:b w:val="0"/>
                <w:i w:val="0"/>
                <w:color w:val="172B4D"/>
                <w:sz w:val="18"/>
              </w:rPr>
              <w:t>SQLite schema, RuleVersion registry, scan workflow, local UI/Telegram approval, simulated exchange adapter and audit timeline.</w:t>
            </w:r>
          </w:p>
        </w:tc>
        <w:tc>
          <w:tcPr>
            <w:tcW w:type="dxa" w:w="2430"/>
            <w:tcMar>
              <w:top w:w="80" w:type="dxa"/>
              <w:start w:w="120" w:type="dxa"/>
              <w:bottom w:w="80" w:type="dxa"/>
              <w:end w:w="120" w:type="dxa"/>
            </w:tcMar>
            <w:vAlign w:val="center"/>
          </w:tcPr>
          <w:p>
            <w:pPr>
              <w:spacing w:after="0"/>
              <w:jc w:val="left"/>
            </w:pPr>
            <w:r>
              <w:rPr>
                <w:rFonts w:ascii="Aptos" w:hAnsi="Aptos"/>
                <w:b w:val="0"/>
                <w:i w:val="0"/>
                <w:color w:val="172B4D"/>
                <w:sz w:val="18"/>
              </w:rPr>
              <w:t>Golden signal, approval, duplicate and restart UAT pass.</w:t>
            </w:r>
          </w:p>
        </w:tc>
      </w:tr>
      <w:tr>
        <w:trPr>
          <w:cantSplit/>
        </w:trPr>
        <w:tc>
          <w:tcPr>
            <w:tcW w:type="dxa" w:w="1750"/>
            <w:tcMar>
              <w:top w:w="80" w:type="dxa"/>
              <w:start w:w="120" w:type="dxa"/>
              <w:bottom w:w="80" w:type="dxa"/>
              <w:end w:w="120" w:type="dxa"/>
            </w:tcMar>
            <w:vAlign w:val="center"/>
          </w:tcPr>
          <w:p>
            <w:pPr>
              <w:spacing w:after="0"/>
              <w:jc w:val="center"/>
            </w:pPr>
            <w:r>
              <w:rPr>
                <w:rFonts w:ascii="Aptos" w:hAnsi="Aptos"/>
                <w:b w:val="0"/>
                <w:i w:val="0"/>
                <w:color w:val="172B4D"/>
                <w:sz w:val="18"/>
              </w:rPr>
              <w:t>2. Desktop USD-M testnet</w:t>
            </w:r>
          </w:p>
        </w:tc>
        <w:tc>
          <w:tcPr>
            <w:tcW w:type="dxa" w:w="5180"/>
            <w:tcMar>
              <w:top w:w="80" w:type="dxa"/>
              <w:start w:w="120" w:type="dxa"/>
              <w:bottom w:w="80" w:type="dxa"/>
              <w:end w:w="120" w:type="dxa"/>
            </w:tcMar>
            <w:vAlign w:val="center"/>
          </w:tcPr>
          <w:p>
            <w:pPr>
              <w:spacing w:after="0"/>
              <w:jc w:val="left"/>
            </w:pPr>
            <w:r>
              <w:rPr>
                <w:rFonts w:ascii="Aptos" w:hAnsi="Aptos"/>
                <w:b w:val="0"/>
                <w:i w:val="0"/>
                <w:color w:val="172B4D"/>
                <w:sz w:val="18"/>
              </w:rPr>
              <w:t>Signed gateway, exchange filters, user stream, protective orders, reconciliation, risk/portfolio pre-trade gates.</w:t>
            </w:r>
          </w:p>
        </w:tc>
        <w:tc>
          <w:tcPr>
            <w:tcW w:type="dxa" w:w="2430"/>
            <w:tcMar>
              <w:top w:w="80" w:type="dxa"/>
              <w:start w:w="120" w:type="dxa"/>
              <w:bottom w:w="80" w:type="dxa"/>
              <w:end w:w="120" w:type="dxa"/>
            </w:tcMar>
            <w:vAlign w:val="center"/>
          </w:tcPr>
          <w:p>
            <w:pPr>
              <w:spacing w:after="0"/>
              <w:jc w:val="left"/>
            </w:pPr>
            <w:r>
              <w:rPr>
                <w:rFonts w:ascii="Aptos" w:hAnsi="Aptos"/>
                <w:b w:val="0"/>
                <w:i w:val="0"/>
                <w:color w:val="172B4D"/>
                <w:sz w:val="18"/>
              </w:rPr>
              <w:t>30-day stable run without duplicate order or unresolved critical protection failure.</w:t>
            </w:r>
          </w:p>
        </w:tc>
      </w:tr>
      <w:tr>
        <w:trPr>
          <w:cantSplit/>
        </w:trPr>
        <w:tc>
          <w:tcPr>
            <w:tcW w:type="dxa" w:w="1750"/>
            <w:tcMar>
              <w:top w:w="80" w:type="dxa"/>
              <w:start w:w="120" w:type="dxa"/>
              <w:bottom w:w="80" w:type="dxa"/>
              <w:end w:w="120" w:type="dxa"/>
            </w:tcMar>
            <w:vAlign w:val="center"/>
          </w:tcPr>
          <w:p>
            <w:pPr>
              <w:spacing w:after="0"/>
              <w:jc w:val="center"/>
            </w:pPr>
            <w:r>
              <w:rPr>
                <w:rFonts w:ascii="Aptos" w:hAnsi="Aptos"/>
                <w:b w:val="0"/>
                <w:i w:val="0"/>
                <w:color w:val="172B4D"/>
                <w:sz w:val="18"/>
              </w:rPr>
              <w:t>3. Desktop live assisted</w:t>
            </w:r>
          </w:p>
        </w:tc>
        <w:tc>
          <w:tcPr>
            <w:tcW w:type="dxa" w:w="5180"/>
            <w:tcMar>
              <w:top w:w="80" w:type="dxa"/>
              <w:start w:w="120" w:type="dxa"/>
              <w:bottom w:w="80" w:type="dxa"/>
              <w:end w:w="120" w:type="dxa"/>
            </w:tcMar>
            <w:vAlign w:val="center"/>
          </w:tcPr>
          <w:p>
            <w:pPr>
              <w:spacing w:after="0"/>
              <w:jc w:val="left"/>
            </w:pPr>
            <w:r>
              <w:rPr>
                <w:rFonts w:ascii="Aptos" w:hAnsi="Aptos"/>
                <w:b w:val="0"/>
                <w:i w:val="0"/>
                <w:color w:val="172B4D"/>
                <w:sz w:val="18"/>
              </w:rPr>
              <w:t>Feature-gated live profile, manual entry approval, production monitoring, backup/restore drill and low-risk policy configuration.</w:t>
            </w:r>
          </w:p>
        </w:tc>
        <w:tc>
          <w:tcPr>
            <w:tcW w:type="dxa" w:w="2430"/>
            <w:tcMar>
              <w:top w:w="80" w:type="dxa"/>
              <w:start w:w="120" w:type="dxa"/>
              <w:bottom w:w="80" w:type="dxa"/>
              <w:end w:w="120" w:type="dxa"/>
            </w:tcMar>
            <w:vAlign w:val="center"/>
          </w:tcPr>
          <w:p>
            <w:pPr>
              <w:spacing w:after="0"/>
              <w:jc w:val="left"/>
            </w:pPr>
            <w:r>
              <w:rPr>
                <w:rFonts w:ascii="Aptos" w:hAnsi="Aptos"/>
                <w:b w:val="0"/>
                <w:i w:val="0"/>
                <w:color w:val="172B4D"/>
                <w:sz w:val="18"/>
              </w:rPr>
              <w:t>Go-live checklist and owner approval.</w:t>
            </w:r>
          </w:p>
        </w:tc>
      </w:tr>
      <w:tr>
        <w:trPr>
          <w:cantSplit/>
        </w:trPr>
        <w:tc>
          <w:tcPr>
            <w:tcW w:type="dxa" w:w="1750"/>
            <w:tcMar>
              <w:top w:w="80" w:type="dxa"/>
              <w:start w:w="120" w:type="dxa"/>
              <w:bottom w:w="80" w:type="dxa"/>
              <w:end w:w="120" w:type="dxa"/>
            </w:tcMar>
            <w:vAlign w:val="center"/>
          </w:tcPr>
          <w:p>
            <w:pPr>
              <w:spacing w:after="0"/>
              <w:jc w:val="center"/>
            </w:pPr>
            <w:r>
              <w:rPr>
                <w:rFonts w:ascii="Aptos" w:hAnsi="Aptos"/>
                <w:b w:val="0"/>
                <w:i w:val="0"/>
                <w:color w:val="172B4D"/>
                <w:sz w:val="18"/>
              </w:rPr>
              <w:t>4. Later assessment</w:t>
            </w:r>
          </w:p>
        </w:tc>
        <w:tc>
          <w:tcPr>
            <w:tcW w:type="dxa" w:w="5180"/>
            <w:tcMar>
              <w:top w:w="80" w:type="dxa"/>
              <w:start w:w="120" w:type="dxa"/>
              <w:bottom w:w="80" w:type="dxa"/>
              <w:end w:w="120" w:type="dxa"/>
            </w:tcMar>
            <w:vAlign w:val="center"/>
          </w:tcPr>
          <w:p>
            <w:pPr>
              <w:spacing w:after="0"/>
              <w:jc w:val="left"/>
            </w:pPr>
            <w:r>
              <w:rPr>
                <w:rFonts w:ascii="Aptos" w:hAnsi="Aptos"/>
                <w:b w:val="0"/>
                <w:i w:val="0"/>
                <w:color w:val="172B4D"/>
                <w:sz w:val="18"/>
              </w:rPr>
              <w:t>Optional managed automation and cloud-readiness design only after desktop evidence supports it.</w:t>
            </w:r>
          </w:p>
        </w:tc>
        <w:tc>
          <w:tcPr>
            <w:tcW w:type="dxa" w:w="2430"/>
            <w:tcMar>
              <w:top w:w="80" w:type="dxa"/>
              <w:start w:w="120" w:type="dxa"/>
              <w:bottom w:w="80" w:type="dxa"/>
              <w:end w:w="120" w:type="dxa"/>
            </w:tcMar>
            <w:vAlign w:val="center"/>
          </w:tcPr>
          <w:p>
            <w:pPr>
              <w:spacing w:after="0"/>
              <w:jc w:val="left"/>
            </w:pPr>
            <w:r>
              <w:rPr>
                <w:rFonts w:ascii="Aptos" w:hAnsi="Aptos"/>
                <w:b w:val="0"/>
                <w:i w:val="0"/>
                <w:color w:val="172B4D"/>
                <w:sz w:val="18"/>
              </w:rPr>
              <w:t>Separate decision record; no automatic migration.</w:t>
            </w:r>
          </w:p>
        </w:tc>
      </w:tr>
    </w:tbl>
    <w:p>
      <w:pPr>
        <w:spacing w:after="20"/>
      </w:pPr>
    </w:p>
    <w:p>
      <w:pPr>
        <w:pStyle w:val="Heading1"/>
      </w:pPr>
      <w:r>
        <w:t>12. HLD acceptance criteria</w:t>
      </w:r>
    </w:p>
    <w:p>
      <w:pPr>
        <w:pStyle w:val="ListBullet"/>
      </w:pPr>
      <w:r>
        <w:rPr>
          <w:rFonts w:ascii="Aptos" w:hAnsi="Aptos"/>
          <w:b w:val="0"/>
          <w:i w:val="0"/>
          <w:color w:val="172B4D"/>
          <w:sz w:val="21"/>
        </w:rPr>
        <w:t>Architecture supports every Must requirement in BRD v0.2 without requiring cloud deployment.</w:t>
      </w:r>
    </w:p>
    <w:p>
      <w:pPr>
        <w:pStyle w:val="ListBullet"/>
      </w:pPr>
      <w:r>
        <w:rPr>
          <w:rFonts w:ascii="Aptos" w:hAnsi="Aptos"/>
          <w:b w:val="0"/>
          <w:i w:val="0"/>
          <w:color w:val="172B4D"/>
          <w:sz w:val="21"/>
        </w:rPr>
        <w:t>Signals, proposals, decisions and exchange actions are traceable by correlation ID and immutable rule/proposal references.</w:t>
      </w:r>
    </w:p>
    <w:p>
      <w:pPr>
        <w:pStyle w:val="ListBullet"/>
      </w:pPr>
      <w:r>
        <w:rPr>
          <w:rFonts w:ascii="Aptos" w:hAnsi="Aptos"/>
          <w:b w:val="0"/>
          <w:i w:val="0"/>
          <w:color w:val="172B4D"/>
          <w:sz w:val="21"/>
        </w:rPr>
        <w:t>No execution path bypasses approval, pre-trade checks, idempotency or protective-order validation.</w:t>
      </w:r>
    </w:p>
    <w:p>
      <w:pPr>
        <w:pStyle w:val="ListBullet"/>
      </w:pPr>
      <w:r>
        <w:rPr>
          <w:rFonts w:ascii="Aptos" w:hAnsi="Aptos"/>
          <w:b w:val="0"/>
          <w:i w:val="0"/>
          <w:color w:val="172B4D"/>
          <w:sz w:val="21"/>
        </w:rPr>
        <w:t>Rule update, G-02 regression, stale-data block, restart recovery and manual Binance action have explicit handling paths.</w:t>
      </w:r>
    </w:p>
    <w:p>
      <w:pPr>
        <w:pStyle w:val="ListBullet"/>
      </w:pPr>
      <w:r>
        <w:rPr>
          <w:rFonts w:ascii="Aptos" w:hAnsi="Aptos"/>
          <w:b w:val="0"/>
          <w:i w:val="0"/>
          <w:color w:val="172B4D"/>
          <w:sz w:val="21"/>
        </w:rPr>
        <w:t>All open risk, leverage, margin and automation values remain policy-configured and require owner approval before live use.</w:t>
      </w:r>
    </w:p>
    <w:p>
      <w:pPr>
        <w:pStyle w:val="Heading1"/>
      </w:pPr>
      <w:r>
        <w:t>Appendix A. References</w:t>
      </w:r>
    </w:p>
    <w:p>
      <w:pPr>
        <w:pStyle w:val="ListBullet"/>
      </w:pPr>
      <w:r>
        <w:rPr>
          <w:rFonts w:ascii="Aptos" w:hAnsi="Aptos"/>
          <w:b w:val="0"/>
          <w:i w:val="0"/>
          <w:color w:val="172B4D"/>
          <w:sz w:val="21"/>
        </w:rPr>
        <w:t>docs/BRD_NXT_Automated_Signal_Trading_System_v0.2.docx</w:t>
      </w:r>
    </w:p>
    <w:p>
      <w:pPr>
        <w:pStyle w:val="ListBullet"/>
      </w:pPr>
      <w:r>
        <w:rPr>
          <w:rFonts w:ascii="Aptos" w:hAnsi="Aptos"/>
          <w:b w:val="0"/>
          <w:i w:val="0"/>
          <w:color w:val="172B4D"/>
          <w:sz w:val="21"/>
        </w:rPr>
        <w:t>latest/NXT_Latest_Summary.md</w:t>
      </w:r>
    </w:p>
    <w:p>
      <w:pPr>
        <w:pStyle w:val="ListBullet"/>
      </w:pPr>
      <w:r>
        <w:rPr>
          <w:rFonts w:ascii="Aptos" w:hAnsi="Aptos"/>
          <w:b w:val="0"/>
          <w:i w:val="0"/>
          <w:color w:val="172B4D"/>
          <w:sz w:val="21"/>
        </w:rPr>
        <w:t>latest/NXT_Latest_NXT35_USDM_BlockShortAfterLosingLong_System_And_Indicators.docx</w:t>
      </w:r>
    </w:p>
    <w:p>
      <w:pPr>
        <w:pStyle w:val="ListBullet"/>
      </w:pPr>
      <w:r>
        <w:rPr>
          <w:rFonts w:ascii="Aptos" w:hAnsi="Aptos"/>
          <w:b w:val="0"/>
          <w:i w:val="0"/>
          <w:color w:val="172B4D"/>
          <w:sz w:val="21"/>
        </w:rPr>
        <w:t>latest/NXT_Latest_NXT35_USDM_BlockShortAfterLosingLong_SignalRegression.json</w:t>
      </w:r>
    </w:p>
    <w:p>
      <w:pPr>
        <w:pStyle w:val="ListBullet"/>
      </w:pPr>
      <w:r>
        <w:rPr>
          <w:rFonts w:ascii="Aptos" w:hAnsi="Aptos"/>
          <w:b w:val="0"/>
          <w:i w:val="0"/>
          <w:color w:val="172B4D"/>
          <w:sz w:val="21"/>
        </w:rPr>
        <w:t>app/nxt_signal_app.py and scripts/daily_nxt_signal_scan.py — current desktop scan core.</w:t>
      </w:r>
    </w:p>
    <w:sectPr w:rsidR="00FC693F" w:rsidRPr="0006063C" w:rsidSect="00034616">
      <w:headerReference w:type="default" r:id="rId9"/>
      <w:footerReference w:type="default" r:id="rId10"/>
      <w:pgSz w:w="12240" w:h="15840"/>
      <w:pgMar w:top="1152"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b w:val="0"/>
        <w:i w:val="0"/>
        <w:color w:val="667085"/>
        <w:sz w:val="17"/>
      </w:rPr>
      <w:t>Desktop-first | HLD v0.1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ptos" w:hAnsi="Aptos"/>
        <w:b/>
        <w:i w:val="0"/>
        <w:color w:val="667085"/>
        <w:sz w:val="17"/>
      </w:rPr>
      <w:t>NXT Automated Trading System | High Level Design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172B4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w:hAnsi="Aptos"/>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b/>
      <w:bCs/>
      <w:color w:val="2F75B5"/>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w:hAnsi="Aptos"/>
      <w:b/>
      <w:bCs/>
      <w:color w:val="0F766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ptos" w:hAnsi="Aptos"/>
      <w:b w:val="0"/>
      <w:i/>
      <w:iCs/>
      <w:color w:val="667085"/>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ind w:left="605" w:hanging="288"/>
      <w:contextualSpacing/>
    </w:pPr>
    <w:rPr>
      <w:rFonts w:ascii="Aptos" w:hAnsi="Apto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HLD - NXT Automated Signal and Trading System</dc:title>
  <dc:subject>Desktop-first high-level architecture based on BRD v0.2</dc:subject>
  <dc:creator>System Architecture</dc:creator>
  <cp:keywords/>
  <dc:description>HLD v0.1; not authorization for live trading.</dc:description>
  <cp:lastModifiedBy/>
  <cp:revision>1</cp:revision>
  <dcterms:created xsi:type="dcterms:W3CDTF">2013-12-23T23:15:00Z</dcterms:created>
  <dcterms:modified xsi:type="dcterms:W3CDTF">2013-12-23T23:15:00Z</dcterms:modified>
  <cp:category/>
</cp:coreProperties>
</file>