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CHỌN KỸ THUẬT RETROSPECTIVE CHO NHÓM ÍT NGƯỜI DÁM NÓI</w:t>
      </w:r>
    </w:p>
    <w:p>
      <w:pPr>
        <w:pStyle w:val="Heading1"/>
      </w:pPr>
      <w:r>
        <w:t>PHẦN 1. HAI PHƯƠNG ÁN TỔ CHỨC SPRINT RETROSPECTIVE</w:t>
      </w:r>
    </w:p>
    <w:tbl>
      <w:tblPr>
        <w:tblStyle w:val="TableGrid"/>
        <w:tblW w:type="auto" w:w="0"/>
        <w:jc w:val="center"/>
        <w:tblLook w:firstColumn="1" w:firstRow="1" w:lastColumn="0" w:lastRow="0" w:noHBand="0" w:noVBand="1" w:val="04A0"/>
      </w:tblPr>
      <w:tblGrid>
        <w:gridCol w:w="3456"/>
        <w:gridCol w:w="3456"/>
        <w:gridCol w:w="3456"/>
      </w:tblGrid>
      <w:tr>
        <w:tc>
          <w:tcPr>
            <w:tcW w:type="dxa" w:w="2088"/>
            <w:vAlign w:val="center"/>
            <w:shd w:fill="D9EAF7"/>
          </w:tcPr>
          <w:p>
            <w:pPr>
              <w:spacing w:after="0"/>
            </w:pPr>
            <w:r/>
            <w:r>
              <w:rPr>
                <w:rFonts w:ascii="Times New Roman" w:hAnsi="Times New Roman"/>
                <w:b/>
                <w:sz w:val="18"/>
              </w:rPr>
              <w:t>Bước</w:t>
            </w:r>
          </w:p>
        </w:tc>
        <w:tc>
          <w:tcPr>
            <w:tcW w:type="dxa" w:w="3888"/>
            <w:vAlign w:val="center"/>
            <w:shd w:fill="D9EAF7"/>
          </w:tcPr>
          <w:p>
            <w:pPr>
              <w:spacing w:after="0"/>
            </w:pPr>
            <w:r/>
            <w:r>
              <w:rPr>
                <w:rFonts w:ascii="Times New Roman" w:hAnsi="Times New Roman"/>
                <w:b/>
                <w:sz w:val="18"/>
              </w:rPr>
              <w:t>Phương án A: Start–Stop–Continue</w:t>
            </w:r>
          </w:p>
        </w:tc>
        <w:tc>
          <w:tcPr>
            <w:tcW w:type="dxa" w:w="3888"/>
            <w:vAlign w:val="center"/>
            <w:shd w:fill="D9EAF7"/>
          </w:tcPr>
          <w:p>
            <w:pPr>
              <w:spacing w:after="0"/>
            </w:pPr>
            <w:r/>
            <w:r>
              <w:rPr>
                <w:rFonts w:ascii="Times New Roman" w:hAnsi="Times New Roman"/>
                <w:b/>
                <w:sz w:val="18"/>
              </w:rPr>
              <w:t>Phương án B: 4Ls</w:t>
            </w:r>
          </w:p>
        </w:tc>
      </w:tr>
      <w:tr>
        <w:tc>
          <w:tcPr>
            <w:tcW w:type="dxa" w:w="2088"/>
            <w:vAlign w:val="center"/>
          </w:tcPr>
          <w:p>
            <w:pPr>
              <w:spacing w:after="0"/>
            </w:pPr>
            <w:r/>
            <w:r>
              <w:rPr>
                <w:rFonts w:ascii="Times New Roman" w:hAnsi="Times New Roman"/>
                <w:b w:val="0"/>
                <w:sz w:val="18"/>
              </w:rPr>
              <w:t>1. Set the Stage – Mở đầu (5 phút)</w:t>
            </w:r>
          </w:p>
        </w:tc>
        <w:tc>
          <w:tcPr>
            <w:tcW w:type="dxa" w:w="3888"/>
            <w:vAlign w:val="center"/>
          </w:tcPr>
          <w:p>
            <w:pPr>
              <w:spacing w:after="0"/>
            </w:pPr>
            <w:r/>
            <w:r>
              <w:rPr>
                <w:rFonts w:ascii="Times New Roman" w:hAnsi="Times New Roman"/>
                <w:b w:val="0"/>
                <w:sz w:val="18"/>
              </w:rPr>
              <w:t>Scrum Master nêu mục tiêu, thống nhất nguyên tắc tôn trọng, không nêu tên người và tập trung vào hành vi, quy trình.</w:t>
            </w:r>
          </w:p>
        </w:tc>
        <w:tc>
          <w:tcPr>
            <w:tcW w:type="dxa" w:w="3888"/>
            <w:vAlign w:val="center"/>
          </w:tcPr>
          <w:p>
            <w:pPr>
              <w:spacing w:after="0"/>
            </w:pPr>
            <w:r/>
            <w:r>
              <w:rPr>
                <w:rFonts w:ascii="Times New Roman" w:hAnsi="Times New Roman"/>
                <w:b w:val="0"/>
                <w:sz w:val="18"/>
              </w:rPr>
              <w:t>Scrum Master nêu mục tiêu, thống nhất nguyên tắc an toàn khi chia sẻ và khuyến khích mọi thành viên nói về trải nghiệm, điều học được.</w:t>
            </w:r>
          </w:p>
        </w:tc>
      </w:tr>
      <w:tr>
        <w:tc>
          <w:tcPr>
            <w:tcW w:type="dxa" w:w="2088"/>
            <w:vAlign w:val="center"/>
          </w:tcPr>
          <w:p>
            <w:pPr>
              <w:spacing w:after="0"/>
            </w:pPr>
            <w:r/>
            <w:r>
              <w:rPr>
                <w:rFonts w:ascii="Times New Roman" w:hAnsi="Times New Roman"/>
                <w:b w:val="0"/>
                <w:sz w:val="18"/>
              </w:rPr>
              <w:t>2. Gather Data – Thu thập dữ liệu (12 phút)</w:t>
            </w:r>
          </w:p>
        </w:tc>
        <w:tc>
          <w:tcPr>
            <w:tcW w:type="dxa" w:w="3888"/>
            <w:vAlign w:val="center"/>
          </w:tcPr>
          <w:p>
            <w:pPr>
              <w:spacing w:after="0"/>
            </w:pPr>
            <w:r/>
            <w:r>
              <w:rPr>
                <w:rFonts w:ascii="Times New Roman" w:hAnsi="Times New Roman"/>
                <w:b w:val="0"/>
                <w:sz w:val="18"/>
              </w:rPr>
              <w:t>Mỗi người viết ý kiến ẩn danh vào ba nhóm: Start (bắt đầu), Stop (dừng lại), Continue (tiếp tục). Mỗi thẻ chỉ có một ý.</w:t>
            </w:r>
          </w:p>
        </w:tc>
        <w:tc>
          <w:tcPr>
            <w:tcW w:type="dxa" w:w="3888"/>
            <w:vAlign w:val="center"/>
          </w:tcPr>
          <w:p>
            <w:pPr>
              <w:spacing w:after="0"/>
            </w:pPr>
            <w:r/>
            <w:r>
              <w:rPr>
                <w:rFonts w:ascii="Times New Roman" w:hAnsi="Times New Roman"/>
                <w:b w:val="0"/>
                <w:sz w:val="18"/>
              </w:rPr>
              <w:t>Mỗi người viết ý kiến ẩn danh vào bốn nhóm: Liked (điều thích), Learned (điều học được), Lacked (điều còn thiếu), Longed for (điều mong muốn). Mỗi thẻ chỉ có một ý.</w:t>
            </w:r>
          </w:p>
        </w:tc>
      </w:tr>
      <w:tr>
        <w:tc>
          <w:tcPr>
            <w:tcW w:type="dxa" w:w="2088"/>
            <w:vAlign w:val="center"/>
          </w:tcPr>
          <w:p>
            <w:pPr>
              <w:spacing w:after="0"/>
            </w:pPr>
            <w:r/>
            <w:r>
              <w:rPr>
                <w:rFonts w:ascii="Times New Roman" w:hAnsi="Times New Roman"/>
                <w:b w:val="0"/>
                <w:sz w:val="18"/>
              </w:rPr>
              <w:t>3. Generate Insights – Tìm nguyên nhân và bài học (18 phút)</w:t>
            </w:r>
          </w:p>
        </w:tc>
        <w:tc>
          <w:tcPr>
            <w:tcW w:type="dxa" w:w="3888"/>
            <w:vAlign w:val="center"/>
          </w:tcPr>
          <w:p>
            <w:pPr>
              <w:spacing w:after="0"/>
            </w:pPr>
            <w:r/>
            <w:r>
              <w:rPr>
                <w:rFonts w:ascii="Times New Roman" w:hAnsi="Times New Roman"/>
                <w:b w:val="0"/>
                <w:sz w:val="18"/>
              </w:rPr>
              <w:t>Gom thẻ thành Theme, thảo luận nguyên nhân của vấn đề nổi bật như kiểm thử muộn và quy tắc chuyển người không được thông báo đầy đủ.</w:t>
            </w:r>
          </w:p>
        </w:tc>
        <w:tc>
          <w:tcPr>
            <w:tcW w:type="dxa" w:w="3888"/>
            <w:vAlign w:val="center"/>
          </w:tcPr>
          <w:p>
            <w:pPr>
              <w:spacing w:after="0"/>
            </w:pPr>
            <w:r/>
            <w:r>
              <w:rPr>
                <w:rFonts w:ascii="Times New Roman" w:hAnsi="Times New Roman"/>
                <w:b w:val="0"/>
                <w:sz w:val="18"/>
              </w:rPr>
              <w:t>Gom thẻ thành Theme, tìm nguyên nhân và bài học từ trải nghiệm tích cực, điều đã học, những thiếu sót và mong muốn của thành viên.</w:t>
            </w:r>
          </w:p>
        </w:tc>
      </w:tr>
      <w:tr>
        <w:tc>
          <w:tcPr>
            <w:tcW w:type="dxa" w:w="2088"/>
            <w:vAlign w:val="center"/>
          </w:tcPr>
          <w:p>
            <w:pPr>
              <w:spacing w:after="0"/>
            </w:pPr>
            <w:r/>
            <w:r>
              <w:rPr>
                <w:rFonts w:ascii="Times New Roman" w:hAnsi="Times New Roman"/>
                <w:b w:val="0"/>
                <w:sz w:val="18"/>
              </w:rPr>
              <w:t>4. Decide What to Do – Quyết định hành động (15 phút)</w:t>
            </w:r>
          </w:p>
        </w:tc>
        <w:tc>
          <w:tcPr>
            <w:tcW w:type="dxa" w:w="3888"/>
            <w:vAlign w:val="center"/>
          </w:tcPr>
          <w:p>
            <w:pPr>
              <w:spacing w:after="0"/>
            </w:pPr>
            <w:r/>
            <w:r>
              <w:rPr>
                <w:rFonts w:ascii="Times New Roman" w:hAnsi="Times New Roman"/>
                <w:b w:val="0"/>
                <w:sz w:val="18"/>
              </w:rPr>
              <w:t>Cả nhóm chọn một vấn đề ưu tiên, thống nhất một Improvement cụ thể, người theo dõi, thời điểm kiểm tra và bằng chứng.</w:t>
            </w:r>
          </w:p>
        </w:tc>
        <w:tc>
          <w:tcPr>
            <w:tcW w:type="dxa" w:w="3888"/>
            <w:vAlign w:val="center"/>
          </w:tcPr>
          <w:p>
            <w:pPr>
              <w:spacing w:after="0"/>
            </w:pPr>
            <w:r/>
            <w:r>
              <w:rPr>
                <w:rFonts w:ascii="Times New Roman" w:hAnsi="Times New Roman"/>
                <w:b w:val="0"/>
                <w:sz w:val="18"/>
              </w:rPr>
              <w:t>Cả nhóm chọn một vấn đề ưu tiên từ các Theme, thống nhất một Improvement cụ thể, người theo dõi, thời điểm kiểm tra và bằng chứng.</w:t>
            </w:r>
          </w:p>
        </w:tc>
      </w:tr>
      <w:tr>
        <w:tc>
          <w:tcPr>
            <w:tcW w:type="dxa" w:w="2088"/>
            <w:vAlign w:val="center"/>
          </w:tcPr>
          <w:p>
            <w:pPr>
              <w:spacing w:after="0"/>
            </w:pPr>
            <w:r/>
            <w:r>
              <w:rPr>
                <w:rFonts w:ascii="Times New Roman" w:hAnsi="Times New Roman"/>
                <w:b w:val="0"/>
                <w:sz w:val="18"/>
              </w:rPr>
              <w:t>5. Close the Retrospective – Kết thúc (10 phút)</w:t>
            </w:r>
          </w:p>
        </w:tc>
        <w:tc>
          <w:tcPr>
            <w:tcW w:type="dxa" w:w="3888"/>
            <w:vAlign w:val="center"/>
          </w:tcPr>
          <w:p>
            <w:pPr>
              <w:spacing w:after="0"/>
            </w:pPr>
            <w:r/>
            <w:r>
              <w:rPr>
                <w:rFonts w:ascii="Times New Roman" w:hAnsi="Times New Roman"/>
                <w:b w:val="0"/>
                <w:sz w:val="18"/>
              </w:rPr>
              <w:t>Tóm tắt Improvement, xác nhận cách theo dõi và lấy phản hồi nhanh về buổi họp.</w:t>
            </w:r>
          </w:p>
        </w:tc>
        <w:tc>
          <w:tcPr>
            <w:tcW w:type="dxa" w:w="3888"/>
            <w:vAlign w:val="center"/>
          </w:tcPr>
          <w:p>
            <w:pPr>
              <w:spacing w:after="0"/>
            </w:pPr>
            <w:r/>
            <w:r>
              <w:rPr>
                <w:rFonts w:ascii="Times New Roman" w:hAnsi="Times New Roman"/>
                <w:b w:val="0"/>
                <w:sz w:val="18"/>
              </w:rPr>
              <w:t>Tóm tắt Improvement, xác nhận cách theo dõi và lấy phản hồi nhanh về buổi họp.</w:t>
            </w:r>
          </w:p>
        </w:tc>
      </w:tr>
    </w:tbl>
    <w:p>
      <w:pPr>
        <w:spacing w:after="20"/>
      </w:pPr>
    </w:p>
    <w:p>
      <w:r>
        <w:t>Tổng thời gian mỗi phương án: 60 phút. Đây là cách phân bổ thời gian đề xuất, không phải thời lượng bắt buộc của từng bước trong Scrum. Với thành viên chỉ tham gia 45 phút đầu, nhóm nên thu thập ý kiến ẩn danh và xử lý các ý kiến chính trong 45 phút đầu; 15 phút cuối dành cho việc hoàn thiện quyết định và kết thúc. Không mời quản lý tham gia phần trao đổi nội bộ.</w:t>
      </w:r>
    </w:p>
    <w:p>
      <w:pPr>
        <w:pStyle w:val="Heading1"/>
      </w:pPr>
      <w:r>
        <w:t>PHẦN 2. SO SÁNH HAI KỸ THUẬT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center"/>
            <w:shd w:fill="D9EAF7"/>
          </w:tcPr>
          <w:p>
            <w:pPr>
              <w:spacing w:after="0"/>
            </w:pPr>
            <w:r/>
            <w:r>
              <w:rPr>
                <w:rFonts w:ascii="Times New Roman" w:hAnsi="Times New Roman"/>
                <w:b/>
                <w:sz w:val="18"/>
              </w:rPr>
              <w:t>Tiêu chí</w:t>
            </w:r>
          </w:p>
        </w:tc>
        <w:tc>
          <w:tcPr>
            <w:tcW w:type="dxa" w:w="3096"/>
            <w:vAlign w:val="center"/>
            <w:shd w:fill="D9EAF7"/>
          </w:tcPr>
          <w:p>
            <w:pPr>
              <w:spacing w:after="0"/>
            </w:pPr>
            <w:r/>
            <w:r>
              <w:rPr>
                <w:rFonts w:ascii="Times New Roman" w:hAnsi="Times New Roman"/>
                <w:b/>
                <w:sz w:val="18"/>
              </w:rPr>
              <w:t>Start–Stop–Continue</w:t>
            </w:r>
          </w:p>
        </w:tc>
        <w:tc>
          <w:tcPr>
            <w:tcW w:type="dxa" w:w="3096"/>
            <w:vAlign w:val="center"/>
            <w:shd w:fill="D9EAF7"/>
          </w:tcPr>
          <w:p>
            <w:pPr>
              <w:spacing w:after="0"/>
            </w:pPr>
            <w:r/>
            <w:r>
              <w:rPr>
                <w:rFonts w:ascii="Times New Roman" w:hAnsi="Times New Roman"/>
                <w:b/>
                <w:sz w:val="18"/>
              </w:rPr>
              <w:t>4Ls</w:t>
            </w:r>
          </w:p>
        </w:tc>
        <w:tc>
          <w:tcPr>
            <w:tcW w:type="dxa" w:w="3096"/>
            <w:vAlign w:val="center"/>
            <w:shd w:fill="D9EAF7"/>
          </w:tcPr>
          <w:p>
            <w:pPr>
              <w:spacing w:after="0"/>
            </w:pPr>
            <w:r/>
            <w:r>
              <w:rPr>
                <w:rFonts w:ascii="Times New Roman" w:hAnsi="Times New Roman"/>
                <w:b/>
                <w:sz w:val="18"/>
              </w:rPr>
              <w:t>Dữ liệu làm căn cứ</w:t>
            </w:r>
          </w:p>
        </w:tc>
      </w:tr>
      <w:tr>
        <w:tc>
          <w:tcPr>
            <w:tcW w:type="dxa" w:w="1944"/>
            <w:vAlign w:val="center"/>
          </w:tcPr>
          <w:p>
            <w:pPr>
              <w:spacing w:after="0"/>
            </w:pPr>
            <w:r/>
            <w:r>
              <w:rPr>
                <w:rFonts w:ascii="Times New Roman" w:hAnsi="Times New Roman"/>
                <w:b w:val="0"/>
                <w:sz w:val="18"/>
              </w:rPr>
              <w:t>Tìm nguyên nhân và điều học được</w:t>
            </w:r>
          </w:p>
        </w:tc>
        <w:tc>
          <w:tcPr>
            <w:tcW w:type="dxa" w:w="3096"/>
            <w:vAlign w:val="center"/>
          </w:tcPr>
          <w:p>
            <w:pPr>
              <w:spacing w:after="0"/>
            </w:pPr>
            <w:r/>
            <w:r>
              <w:rPr>
                <w:rFonts w:ascii="Times New Roman" w:hAnsi="Times New Roman"/>
                <w:b w:val="0"/>
                <w:sz w:val="18"/>
              </w:rPr>
              <w:t>Dễ xác định việc cần bắt đầu, dừng hoặc tiếp tục; có thể chưa làm nổi bật trải nghiệm và bài học nếu nhóm tập trung quá nhanh vào hành động.</w:t>
            </w:r>
          </w:p>
        </w:tc>
        <w:tc>
          <w:tcPr>
            <w:tcW w:type="dxa" w:w="3096"/>
            <w:vAlign w:val="center"/>
          </w:tcPr>
          <w:p>
            <w:pPr>
              <w:spacing w:after="0"/>
            </w:pPr>
            <w:r/>
            <w:r>
              <w:rPr>
                <w:rFonts w:ascii="Times New Roman" w:hAnsi="Times New Roman"/>
                <w:b w:val="0"/>
                <w:sz w:val="18"/>
              </w:rPr>
              <w:t>Khuyến khích chia sẻ điều đã học, điều còn thiếu và mong muốn; phù hợp để tìm hiểu nguyên nhân và góc nhìn khác nhau.</w:t>
            </w:r>
          </w:p>
        </w:tc>
        <w:tc>
          <w:tcPr>
            <w:tcW w:type="dxa" w:w="3096"/>
            <w:vAlign w:val="center"/>
          </w:tcPr>
          <w:p>
            <w:pPr>
              <w:spacing w:after="0"/>
            </w:pPr>
            <w:r/>
            <w:r>
              <w:rPr>
                <w:rFonts w:ascii="Times New Roman" w:hAnsi="Times New Roman"/>
                <w:b w:val="0"/>
                <w:sz w:val="18"/>
              </w:rPr>
              <w:t>O-04: thành viên mới không hiểu từ “nghiêm trọng” nhưng không dám hỏi. O-02: quy tắc chuyển người chỉ được gửi qua tin nhắn riêng.</w:t>
            </w:r>
          </w:p>
        </w:tc>
      </w:tr>
      <w:tr>
        <w:tc>
          <w:tcPr>
            <w:tcW w:type="dxa" w:w="1944"/>
            <w:vAlign w:val="center"/>
          </w:tcPr>
          <w:p>
            <w:pPr>
              <w:spacing w:after="0"/>
            </w:pPr>
            <w:r/>
            <w:r>
              <w:rPr>
                <w:rFonts w:ascii="Times New Roman" w:hAnsi="Times New Roman"/>
                <w:b w:val="0"/>
                <w:sz w:val="18"/>
              </w:rPr>
              <w:t>Chuyển thành hành động</w:t>
            </w:r>
          </w:p>
        </w:tc>
        <w:tc>
          <w:tcPr>
            <w:tcW w:type="dxa" w:w="3096"/>
            <w:vAlign w:val="center"/>
          </w:tcPr>
          <w:p>
            <w:pPr>
              <w:spacing w:after="0"/>
            </w:pPr>
            <w:r/>
            <w:r>
              <w:rPr>
                <w:rFonts w:ascii="Times New Roman" w:hAnsi="Times New Roman"/>
                <w:b w:val="0"/>
                <w:sz w:val="18"/>
              </w:rPr>
              <w:t>Thuận lợi vì cấu trúc hướng trực tiếp đến hành động cần bắt đầu, dừng và tiếp tục.</w:t>
            </w:r>
          </w:p>
        </w:tc>
        <w:tc>
          <w:tcPr>
            <w:tcW w:type="dxa" w:w="3096"/>
            <w:vAlign w:val="center"/>
          </w:tcPr>
          <w:p>
            <w:pPr>
              <w:spacing w:after="0"/>
            </w:pPr>
            <w:r/>
            <w:r>
              <w:rPr>
                <w:rFonts w:ascii="Times New Roman" w:hAnsi="Times New Roman"/>
                <w:b w:val="0"/>
                <w:sz w:val="18"/>
              </w:rPr>
              <w:t>Cần thêm bước ưu tiên Theme và chuyển bài học thành Improvement cụ thể.</w:t>
            </w:r>
          </w:p>
        </w:tc>
        <w:tc>
          <w:tcPr>
            <w:tcW w:type="dxa" w:w="3096"/>
            <w:vAlign w:val="center"/>
          </w:tcPr>
          <w:p>
            <w:pPr>
              <w:spacing w:after="0"/>
            </w:pPr>
            <w:r/>
            <w:r>
              <w:rPr>
                <w:rFonts w:ascii="Times New Roman" w:hAnsi="Times New Roman"/>
                <w:b w:val="0"/>
                <w:sz w:val="18"/>
              </w:rPr>
              <w:t>5/7 người muốn buổi họp tập trung vào hành động; Improvement cũ đạt 2,1/5 và chưa có kết quả.</w:t>
            </w:r>
          </w:p>
        </w:tc>
      </w:tr>
      <w:tr>
        <w:tc>
          <w:tcPr>
            <w:tcW w:type="dxa" w:w="1944"/>
            <w:vAlign w:val="center"/>
          </w:tcPr>
          <w:p>
            <w:pPr>
              <w:spacing w:after="0"/>
            </w:pPr>
            <w:r/>
            <w:r>
              <w:rPr>
                <w:rFonts w:ascii="Times New Roman" w:hAnsi="Times New Roman"/>
                <w:b w:val="0"/>
                <w:sz w:val="18"/>
              </w:rPr>
              <w:t>Phù hợp thời lượng và thành viên mới</w:t>
            </w:r>
          </w:p>
        </w:tc>
        <w:tc>
          <w:tcPr>
            <w:tcW w:type="dxa" w:w="3096"/>
            <w:vAlign w:val="center"/>
          </w:tcPr>
          <w:p>
            <w:pPr>
              <w:spacing w:after="0"/>
            </w:pPr>
            <w:r/>
            <w:r>
              <w:rPr>
                <w:rFonts w:ascii="Times New Roman" w:hAnsi="Times New Roman"/>
                <w:b w:val="0"/>
                <w:sz w:val="18"/>
              </w:rPr>
              <w:t>Dễ hiểu, dễ thực hiện trong 60 phút; tuy nhiên, có nguy cơ bỏ qua trải nghiệm và bài học của thành viên mới nếu thảo luận vội.</w:t>
            </w:r>
          </w:p>
        </w:tc>
        <w:tc>
          <w:tcPr>
            <w:tcW w:type="dxa" w:w="3096"/>
            <w:vAlign w:val="center"/>
          </w:tcPr>
          <w:p>
            <w:pPr>
              <w:spacing w:after="0"/>
            </w:pPr>
            <w:r/>
            <w:r>
              <w:rPr>
                <w:rFonts w:ascii="Times New Roman" w:hAnsi="Times New Roman"/>
                <w:b w:val="0"/>
                <w:sz w:val="18"/>
              </w:rPr>
              <w:t>Có không gian cho người mới chia sẻ điều học được và điều còn thiếu; cần điều phối chặt để hoàn thành trong 60 phút.</w:t>
            </w:r>
          </w:p>
        </w:tc>
        <w:tc>
          <w:tcPr>
            <w:tcW w:type="dxa" w:w="3096"/>
            <w:vAlign w:val="center"/>
          </w:tcPr>
          <w:p>
            <w:pPr>
              <w:spacing w:after="0"/>
            </w:pPr>
            <w:r/>
            <w:r>
              <w:rPr>
                <w:rFonts w:ascii="Times New Roman" w:hAnsi="Times New Roman"/>
                <w:b w:val="0"/>
                <w:sz w:val="18"/>
              </w:rPr>
              <w:t>Nhóm có 7 người, hai thành viên ít phát biểu; 2/7 người đánh giá mức dễ nói thẳng là 1 hoặc 2/5. Hai thành viên lo rằng viết ý kiến công khai sẽ khiến họ không nêu vấn đề nhạy cảm.</w:t>
            </w:r>
          </w:p>
        </w:tc>
      </w:tr>
    </w:tbl>
    <w:p>
      <w:pPr>
        <w:spacing w:after="20"/>
      </w:pPr>
    </w:p>
    <w:p>
      <w:pPr>
        <w:pStyle w:val="Heading1"/>
      </w:pPr>
      <w:r>
        <w:t>PHẦN 3. CHỌN PHƯƠNG ÁN VÀ LÀM THỬ</w:t>
      </w:r>
    </w:p>
    <w:p>
      <w:pPr>
        <w:pStyle w:val="Heading2"/>
      </w:pPr>
      <w:r>
        <w:t>3.1. Lựa chọn phương án</w:t>
      </w:r>
    </w:p>
    <w:p>
      <w:r>
        <w:t>Chọn phương án B – 4Ls. 4Ls phù hợp hơn với Sprint 13 vì nhóm có thành viên mới chưa dám hỏi, các thành viên ít phát biểu và những vấn đề cần rút kinh nghiệm về giao tiếp, phối hợp. Nhóm sẽ viết thẻ ẩn danh trước khi thảo luận để hạn chế áp lực khi chia sẻ, đồng thời dành thời gian cuối để thống nhất một Improvement có người theo dõi và bằng chứng kiểm tra. Đánh đổi là 4Ls cần điều phối chặt hơn Start–Stop–Continue để không vượt quá 60 phút và có thể không đáp ứng đầy đủ mong muốn tập trung vào hành động của 5/7 thành viên.</w:t>
      </w:r>
    </w:p>
    <w:p>
      <w:pPr>
        <w:pStyle w:val="Heading2"/>
      </w:pPr>
      <w:r>
        <w:t>3.2. Ba thẻ mẫu (Sticky Notes)</w:t>
      </w:r>
    </w:p>
    <w:tbl>
      <w:tblPr>
        <w:tblStyle w:val="TableGrid"/>
        <w:tblW w:type="auto" w:w="0"/>
        <w:jc w:val="center"/>
        <w:tblLook w:firstColumn="1" w:firstRow="1" w:lastColumn="0" w:lastRow="0" w:noHBand="0" w:noVBand="1" w:val="04A0"/>
      </w:tblPr>
      <w:tblGrid>
        <w:gridCol w:w="5184"/>
        <w:gridCol w:w="5184"/>
      </w:tblGrid>
      <w:tr>
        <w:tc>
          <w:tcPr>
            <w:tcW w:type="dxa" w:w="1440"/>
            <w:vAlign w:val="center"/>
            <w:shd w:fill="D9EAF7"/>
          </w:tcPr>
          <w:p>
            <w:pPr>
              <w:spacing w:after="0"/>
            </w:pPr>
            <w:r/>
            <w:r>
              <w:rPr>
                <w:rFonts w:ascii="Times New Roman" w:hAnsi="Times New Roman"/>
                <w:b/>
                <w:sz w:val="18"/>
              </w:rPr>
              <w:t>Mã thẻ</w:t>
            </w:r>
          </w:p>
        </w:tc>
        <w:tc>
          <w:tcPr>
            <w:tcW w:type="dxa" w:w="8640"/>
            <w:vAlign w:val="center"/>
            <w:shd w:fill="D9EAF7"/>
          </w:tcPr>
          <w:p>
            <w:pPr>
              <w:spacing w:after="0"/>
            </w:pPr>
            <w:r/>
            <w:r>
              <w:rPr>
                <w:rFonts w:ascii="Times New Roman" w:hAnsi="Times New Roman"/>
                <w:b/>
                <w:sz w:val="18"/>
              </w:rPr>
              <w:t>Nội dung thẻ</w:t>
            </w:r>
          </w:p>
        </w:tc>
      </w:tr>
      <w:tr>
        <w:tc>
          <w:tcPr>
            <w:tcW w:type="dxa" w:w="1440"/>
            <w:vAlign w:val="center"/>
          </w:tcPr>
          <w:p>
            <w:pPr>
              <w:spacing w:after="0"/>
            </w:pPr>
            <w:r/>
            <w:r>
              <w:rPr>
                <w:rFonts w:ascii="Times New Roman" w:hAnsi="Times New Roman"/>
                <w:b w:val="0"/>
                <w:sz w:val="18"/>
              </w:rPr>
              <w:t>S-01</w:t>
            </w:r>
          </w:p>
        </w:tc>
        <w:tc>
          <w:tcPr>
            <w:tcW w:type="dxa" w:w="8640"/>
            <w:vAlign w:val="center"/>
          </w:tcPr>
          <w:p>
            <w:pPr>
              <w:spacing w:after="0"/>
            </w:pPr>
            <w:r/>
            <w:r>
              <w:rPr>
                <w:rFonts w:ascii="Times New Roman" w:hAnsi="Times New Roman"/>
                <w:b w:val="0"/>
                <w:sz w:val="18"/>
              </w:rPr>
              <w:t>Quy tắc chuyển người thay đổi nhưng chỉ được thông báo qua tin nhắn riêng.</w:t>
            </w:r>
          </w:p>
        </w:tc>
      </w:tr>
      <w:tr>
        <w:tc>
          <w:tcPr>
            <w:tcW w:type="dxa" w:w="1440"/>
            <w:vAlign w:val="center"/>
          </w:tcPr>
          <w:p>
            <w:pPr>
              <w:spacing w:after="0"/>
            </w:pPr>
            <w:r/>
            <w:r>
              <w:rPr>
                <w:rFonts w:ascii="Times New Roman" w:hAnsi="Times New Roman"/>
                <w:b w:val="0"/>
                <w:sz w:val="18"/>
              </w:rPr>
              <w:t>S-02</w:t>
            </w:r>
          </w:p>
        </w:tc>
        <w:tc>
          <w:tcPr>
            <w:tcW w:type="dxa" w:w="8640"/>
            <w:vAlign w:val="center"/>
          </w:tcPr>
          <w:p>
            <w:pPr>
              <w:spacing w:after="0"/>
            </w:pPr>
            <w:r/>
            <w:r>
              <w:rPr>
                <w:rFonts w:ascii="Times New Roman" w:hAnsi="Times New Roman"/>
                <w:b w:val="0"/>
                <w:sz w:val="18"/>
              </w:rPr>
              <w:t>Thành viên chưa hiểu thuật ngữ “nghiêm trọng” nhưng không hỏi lại trong buổi làm việc.</w:t>
            </w:r>
          </w:p>
        </w:tc>
      </w:tr>
      <w:tr>
        <w:tc>
          <w:tcPr>
            <w:tcW w:type="dxa" w:w="1440"/>
            <w:vAlign w:val="center"/>
          </w:tcPr>
          <w:p>
            <w:pPr>
              <w:spacing w:after="0"/>
            </w:pPr>
            <w:r/>
            <w:r>
              <w:rPr>
                <w:rFonts w:ascii="Times New Roman" w:hAnsi="Times New Roman"/>
                <w:b w:val="0"/>
                <w:sz w:val="18"/>
              </w:rPr>
              <w:t>S-03</w:t>
            </w:r>
          </w:p>
        </w:tc>
        <w:tc>
          <w:tcPr>
            <w:tcW w:type="dxa" w:w="8640"/>
            <w:vAlign w:val="center"/>
          </w:tcPr>
          <w:p>
            <w:pPr>
              <w:spacing w:after="0"/>
            </w:pPr>
            <w:r/>
            <w:r>
              <w:rPr>
                <w:rFonts w:ascii="Times New Roman" w:hAnsi="Times New Roman"/>
                <w:b w:val="0"/>
                <w:sz w:val="18"/>
              </w:rPr>
              <w:t>Integration Test bắt đầu Ngày 8 dù quyền truy cập môi trường thử nghiệm đã có từ Ngày 4.</w:t>
            </w:r>
          </w:p>
        </w:tc>
      </w:tr>
    </w:tbl>
    <w:p>
      <w:pPr>
        <w:spacing w:after="20"/>
      </w:pPr>
    </w:p>
    <w:p>
      <w:r>
        <w:t>Các thẻ đều mô tả hành vi hoặc sự việc quan sát được, mỗi thẻ có một ý và không nêu tên cá nhân. Trong buổi họp thực tế, các thành viên viết thẻ ẩn danh trước khi chia sẻ và gom nhóm.</w:t>
      </w:r>
    </w:p>
    <w:p>
      <w:pPr>
        <w:pStyle w:val="Heading2"/>
      </w:pPr>
      <w:r>
        <w:t>3.3. Gom thẻ thành Theme và rút ra Insight</w:t>
      </w:r>
    </w:p>
    <w:p>
      <w:r>
        <w:rPr>
          <w:b/>
        </w:rPr>
        <w:t>Theme: Phối hợp và làm rõ thông tin chưa kịp thời.</w:t>
      </w:r>
    </w:p>
    <w:p>
      <w:pPr>
        <w:pStyle w:val="ListBullet"/>
      </w:pPr>
      <w:r>
        <w:t>S-01: Thông tin thay đổi trong quy trình chưa được chia sẻ tại một nơi chung.</w:t>
      </w:r>
    </w:p>
    <w:p>
      <w:pPr>
        <w:pStyle w:val="ListBullet"/>
      </w:pPr>
      <w:r>
        <w:t>S-02: Thành viên chưa chủ động làm rõ thuật ngữ khi chưa hiểu.</w:t>
      </w:r>
    </w:p>
    <w:p>
      <w:pPr>
        <w:pStyle w:val="ListBullet"/>
      </w:pPr>
      <w:r>
        <w:t>S-03: Hoạt động kiểm thử chưa được bắt đầu sớm dù đã có quyền truy cập môi trường.</w:t>
      </w:r>
    </w:p>
    <w:p>
      <w:r>
        <w:rPr>
          <w:b/>
        </w:rPr>
        <w:t xml:space="preserve">Insight: </w:t>
      </w:r>
      <w:r>
        <w:t>Nhóm chưa có cách thống nhất và xác nhận thông tin làm việc đủ rõ ràng, dẫn đến nguy cơ hiểu khác nhau và chậm thực hiện công việc. Vì vậy, nhóm cần cải thiện việc ghi nhận, chia sẻ và xác nhận quy tắc phối hợp.</w:t>
      </w:r>
    </w:p>
    <w:p>
      <w:pPr>
        <w:pStyle w:val="Heading2"/>
      </w:pPr>
      <w:r>
        <w:t>3.4. Improvement đề xuất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3744"/>
            <w:vAlign w:val="center"/>
            <w:shd w:fill="D9EAF7"/>
          </w:tcPr>
          <w:p>
            <w:pPr>
              <w:spacing w:after="0"/>
            </w:pPr>
            <w:r/>
            <w:r>
              <w:rPr>
                <w:rFonts w:ascii="Times New Roman" w:hAnsi="Times New Roman"/>
                <w:b/>
                <w:sz w:val="18"/>
              </w:rPr>
              <w:t>Hành động</w:t>
            </w:r>
          </w:p>
        </w:tc>
        <w:tc>
          <w:tcPr>
            <w:tcW w:type="dxa" w:w="2160"/>
            <w:vAlign w:val="center"/>
            <w:shd w:fill="D9EAF7"/>
          </w:tcPr>
          <w:p>
            <w:pPr>
              <w:spacing w:after="0"/>
            </w:pPr>
            <w:r/>
            <w:r>
              <w:rPr>
                <w:rFonts w:ascii="Times New Roman" w:hAnsi="Times New Roman"/>
                <w:b/>
                <w:sz w:val="18"/>
              </w:rPr>
              <w:t>Người/nhóm theo dõi</w:t>
            </w:r>
          </w:p>
        </w:tc>
        <w:tc>
          <w:tcPr>
            <w:tcW w:type="dxa" w:w="2160"/>
            <w:vAlign w:val="center"/>
            <w:shd w:fill="D9EAF7"/>
          </w:tcPr>
          <w:p>
            <w:pPr>
              <w:spacing w:after="0"/>
            </w:pPr>
            <w:r/>
            <w:r>
              <w:rPr>
                <w:rFonts w:ascii="Times New Roman" w:hAnsi="Times New Roman"/>
                <w:b/>
                <w:sz w:val="18"/>
              </w:rPr>
              <w:t>Khi kiểm tra</w:t>
            </w:r>
          </w:p>
        </w:tc>
        <w:tc>
          <w:tcPr>
            <w:tcW w:type="dxa" w:w="2592"/>
            <w:vAlign w:val="center"/>
            <w:shd w:fill="D9EAF7"/>
          </w:tcPr>
          <w:p>
            <w:pPr>
              <w:spacing w:after="0"/>
            </w:pPr>
            <w:r/>
            <w:r>
              <w:rPr>
                <w:rFonts w:ascii="Times New Roman" w:hAnsi="Times New Roman"/>
                <w:b/>
                <w:sz w:val="18"/>
              </w:rPr>
              <w:t>Bằng chứng</w:t>
            </w:r>
          </w:p>
        </w:tc>
      </w:tr>
      <w:tr>
        <w:tc>
          <w:tcPr>
            <w:tcW w:type="dxa" w:w="3744"/>
            <w:vAlign w:val="center"/>
          </w:tcPr>
          <w:p>
            <w:pPr>
              <w:spacing w:after="0"/>
            </w:pPr>
            <w:r/>
            <w:r>
              <w:rPr>
                <w:rFonts w:ascii="Times New Roman" w:hAnsi="Times New Roman"/>
                <w:b w:val="0"/>
                <w:sz w:val="18"/>
              </w:rPr>
              <w:t>Ghi quy tắc chuyển người vào tài liệu chung của nhóm; khi quy tắc thay đổi, cập nhật tại tài liệu này và yêu cầu Developers cùng CSKH xác nhận đã đọc trước khi áp dụng.</w:t>
            </w:r>
          </w:p>
        </w:tc>
        <w:tc>
          <w:tcPr>
            <w:tcW w:type="dxa" w:w="2160"/>
            <w:vAlign w:val="center"/>
          </w:tcPr>
          <w:p>
            <w:pPr>
              <w:spacing w:after="0"/>
            </w:pPr>
            <w:r/>
            <w:r>
              <w:rPr>
                <w:rFonts w:ascii="Times New Roman" w:hAnsi="Times New Roman"/>
                <w:b w:val="0"/>
                <w:sz w:val="18"/>
              </w:rPr>
              <w:t>Đại diện Developers và đại diện CSKH cùng theo dõi.</w:t>
            </w:r>
          </w:p>
        </w:tc>
        <w:tc>
          <w:tcPr>
            <w:tcW w:type="dxa" w:w="2160"/>
            <w:vAlign w:val="center"/>
          </w:tcPr>
          <w:p>
            <w:pPr>
              <w:spacing w:after="0"/>
            </w:pPr>
            <w:r/>
            <w:r>
              <w:rPr>
                <w:rFonts w:ascii="Times New Roman" w:hAnsi="Times New Roman"/>
                <w:b w:val="0"/>
                <w:sz w:val="18"/>
              </w:rPr>
              <w:t>Ngày đầu Sprint tiếp theo và kiểm tra lại trong Sprint Retrospective kế tiếp.</w:t>
            </w:r>
          </w:p>
        </w:tc>
        <w:tc>
          <w:tcPr>
            <w:tcW w:type="dxa" w:w="2592"/>
            <w:vAlign w:val="center"/>
          </w:tcPr>
          <w:p>
            <w:pPr>
              <w:spacing w:after="0"/>
            </w:pPr>
            <w:r/>
            <w:r>
              <w:rPr>
                <w:rFonts w:ascii="Times New Roman" w:hAnsi="Times New Roman"/>
                <w:b w:val="0"/>
                <w:sz w:val="18"/>
              </w:rPr>
              <w:t>Có tài liệu quy tắc chuyển người được cập nhật, lịch sử thay đổi và xác nhận đã đọc của các thành viên liên quan.</w:t>
            </w:r>
          </w:p>
        </w:tc>
      </w:tr>
    </w:tbl>
    <w:p>
      <w:pPr>
        <w:spacing w:after="20"/>
      </w:pPr>
    </w:p>
    <w:p>
      <w:r>
        <w:t>Improvement này có một hành động chính, có nhóm theo dõi, thời điểm kiểm tra và bằng chứng cụ thể. Nhóm sẽ kiểm tra kết quả ở Sprint Retrospective tiếp theo để xác định hành động đã được thực hiện hay chưa.</w:t>
      </w:r>
    </w:p>
    <w:p>
      <w:pPr>
        <w:pStyle w:val="Heading2"/>
      </w:pPr>
      <w:r>
        <w:t>3.5. Xử lý phản hồi O-05</w:t>
      </w:r>
    </w:p>
    <w:p>
      <w:r>
        <w:t>O-05 gồm hai loại phản hồi sản phẩm:</w:t>
      </w:r>
    </w:p>
    <w:p>
      <w:pPr>
        <w:pStyle w:val="ListBullet"/>
      </w:pPr>
      <w:r>
        <w:t>Chủ cửa hàng hài lòng với nút báo câu trả lời sai: Chuyển phản hồi cho Product Owner để xem xét và quyết định có đưa vào Product Backlog hay không.</w:t>
      </w:r>
    </w:p>
    <w:p>
      <w:pPr>
        <w:pStyle w:val="ListBullet"/>
      </w:pPr>
      <w:r>
        <w:t>CSKH lo ngại 3 ca khiếu nại bị chuyển muộn: Chuyển cho Product Owner xem xét như phản hồi liên quan đến sản phẩm và quy trình xử lý khiếu nại; nếu cần, bổ sung hoặc điều chỉnh Product Backlog.</w:t>
      </w:r>
    </w:p>
    <w:p>
      <w:r>
        <w:t>O-05 không được gom chung vào Theme về cách làm việc của nhóm. Trong Retrospective, nhóm xem xét cách phối hợp và những hành động nội bộ có thể cải thiện; Product Owner chịu trách nhiệm xem xét phản hồi sản phẩm trong Product Backlog.</w:t>
      </w:r>
    </w:p>
    <w:p>
      <w:pPr>
        <w:pStyle w:val="Heading1"/>
      </w:pPr>
      <w:r>
        <w:t>KẾT LUẬN</w:t>
      </w:r>
    </w:p>
    <w:p>
      <w:r>
        <w:t>Nhóm chọn 4Ls vì cần tạo điều kiện để thành viên ít nói và thành viên mới chia sẻ trải nghiệm, đồng thời rút ra bài học từ Sprint 13. Nhóm chấp nhận đánh đổi một phần tốc độ để hiểu rõ vấn đề trước khi hành động, nhưng vẫn giới hạn ở một Improvement có thể kiểm tra và chuyển riêng phản hồi sản phẩm cho Product Owner.</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